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C-4610/2008 vom 4. November 2010</w:t>
      </w:r>
    </w:p>
    <w:p>
      <w:r>
        <w:t>Bundesverwaltungsgericht, 2010-11-04, DE</w:t>
      </w:r>
    </w:p>
    <w:p>
      <w:r>
        <w:rPr>
          <w:b/>
        </w:rPr>
        <w:t xml:space="preserve">Quelle: </w:t>
      </w:r>
      <w:r>
        <w:t>https://mcp.opencaselaw.ch/entscheid/bvger_C-4610_2008</w:t>
      </w:r>
    </w:p>
    <w:p>
      <w:r>
        <w:t>FR: TAF C-4610/2008 du 4 novembre 2010</w:t>
      </w:r>
    </w:p>
    <w:p>
      <w:r>
        <w:t>IT: TAF C-4610/2008 del 4 novembre 2010</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Die Gemeinde A._______ ist als Wohngemeinde der Beschwerdegegnerin gemäss Art. 51 Abs. 2 BüG zur Beschwerde legitimiert (vgl. Urteil des BVGer C-1212/2006 vom 24. Juni 2008 E. 1.4; zur Legitimation des Gemeinderates und der für den Gemeinderat handelnden Personen vgl. § 89 der Verfassung des eidgenössichen Standes Schwyz vom 23. Oktober 1898 [SRSZ 100.000] und § 31 des Gesetzes über die Organisation der Gemeinden und Bezirke vom 29. Oktober 1969 [SRSZ 152.100] sowie Protokollauszug der Gemeinderatssitzung vom 4. August 2008).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3.1</w:t>
      </w:r>
    </w:p>
    <w:p>
      <w:r>
        <w:t>Die in den Art. 27 bis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Nach Art. 27 Abs. 1 BüG können ausländische Ehegatten von schweizerischen Staatsangehörigen erleichtert eingebürgert werden, wenn sie insgesamt fünf Jahre in der Schweiz gewohnt haben, seit einem Jahr hier wohnen und seit drei Jahren in ehelicher Gemeinschaft mit einem Schweizer Bürger bzw. einer Schweizer Bürgerin leben. Nach dem Wortlaut und Wortsinn der Bestimmung müssen sämtliche Voraussetzungen sowohl im Zeitpunkt der Gesuchseinreichung als auch anlässlich der Einbürgerungsverfügung erfüllt sein (BGE 135 II 161 E. 2 S. 165 mit Hinweisen).</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w:t>
      </w:r>
    </w:p>
    <w:p>
      <w:r>
        <w:rPr>
          <w:b/>
        </w:rPr>
        <w:t>E. 3.3</w:t>
      </w:r>
    </w:p>
    <w:p>
      <w:r>
        <w:t>Der in Art. 8 des Schweizerischen Zivilgesetzbuches vom 10. Dezember 1907 (ZGB, SR 210) festgehaltene, allgemeine Rechtsgrundsatz, wonach derjenige die objektive Beweislast für das Vorliegen einer Tatsache trägt, der aus ihr Rechte ableitet (ALFRED KÖLZ/ISABELLE HÄNER, Verwaltungsverfahren und Verwaltungsrechtspflege des Bundes, 2. Aufl. Zürich 1998, Rz 269), gilt auch für die Voraussetzungen der erleichterten Einbürgerung nach Art. 26 Abs. 1 und Art. 27 Abs. 1 BüG. Die Beweislast für deren Vorliegen trägt der Gesuchsteller bzw. die Gesuchstellerin.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Gegenstand der behördlichen Überzeugung ist grundsätzlich nicht die mehr oder weniger hohe Wahrscheinlichkeit eines bestimmten Sachverhalts, sondern seine tatsächliche Verwirklichung. Dabei sind bloss abstrakte oder theoretische Zweifel, die immer möglich sind, nicht massgebend. Es muss sich um begründete Zweifel handeln, das heisst solche, die sich nach den gesamten Umständen aufdrängen.</w:t>
      </w:r>
    </w:p>
    <w:p>
      <w:r>
        <w:rPr>
          <w:b/>
        </w:rPr>
        <w:t>E. 4</w:t>
      </w:r>
    </w:p>
    <w:p>
      <w:r>
        <w:t>Unbestritten - auch seitens der Beschwerdeführerin - ist vorliegend, dass die Beschwerdegegnerin die Voraussetzungen für eine erleichterte Einbürgerung nach Art. 26 Abs. 1 BüG erfüllt. Weder liegt gegen sie in strafrechtlicher Hinsicht etwas vor noch gefährdet sie die innere und äussere Sicherheit der Schweiz. Auch ist sie in die hiesigen Verhältnisse in ausreichendem Masse eingegliedert. Sie geht einer geregelten Erwerbstätigkeit nach, spricht gut Deutsch (Absolvierung von Deutschkursen) und hat auch freundschaftliche Kontakte zu schweizerischen Bekannten (vgl. Referenzschreiben vom 22., 24. und 25. September 2007 sowie vom 14. Oktober 2007).</w:t>
      </w:r>
    </w:p>
    <w:p>
      <w:r>
        <w:rPr>
          <w:b/>
        </w:rPr>
        <w:t>E. 5</w:t>
      </w:r>
    </w:p>
    <w:p>
      <w:r>
        <w:t>Die beschwerdeführende Gemeinde stützt ihre Beurteilung, wonach die Beschwerdegegnerin und ihr Ehegatte eine Scheinehe führen würden, vorab auf die mit deren Tätigkeit als Tänzerin in der Ostschweiz verbundene Abwesenheit vom gemeinsamen Wohnsitz im Jahre 2007. Einen Teil der restlichen Zeit in jenem Jahr habe sie ohne ihren Ehemann in der Ukraine verbracht. Ferner habe der Ehegatte am Schalter des Einwohneramts selber ausgesagt, dass sie sich oft im Zimmer einschliesse, wenn sie sich in A._______ aufhalte. Ausserdem habe der Ehemann beim Steueramt der Gemeinde die Ausstellung getrennter Steuerrechnungen verlangt.</w:t>
      </w:r>
    </w:p>
    <w:p>
      <w:r>
        <w:rPr>
          <w:b/>
        </w:rPr>
        <w:t>E. 5.1</w:t>
      </w:r>
    </w:p>
    <w:p>
      <w:r>
        <w:t>Die Beschwerdegegnerin bestreitet die von der Beschwerdeführerin vorgenommene Beurteilung. In einer schriftlich festgehaltenen Stellungnahme vom 25. Januar 2009 führt der Ehemann dazu aus, dass die Abwesenheit seiner Frau berufsbedingt sei. Alle Wochenenden würden sie jedoch gemeinsam verbringen, sei es zuhause oder auf Ausflügen. Ab Dezember 2006 sei er arbeitslos gewesen, weshalb seine Frau mehr habe arbeiten müssen. Sie besitze ein Auto, welches sie für die Arbeit brauche. Er selber habe kein Auto, weshalb er unter der Woche alleine (zu Fuss oder mit dem öffentlichen Verkehrsmittel) unterwegs sei. Dies sei auch der Grund, weshalb sie im Dorf wenig zusammen gesehen würden. Dass sich seine Ehefrau im Zimmer einschliesse, wenn sie sich in A._______ aufhalte, stimme nicht und habe er auch nicht gegenüber dem Einwohneramt gesagt. Ebenfalls unzutreffend sei, dass er beim Steueramt die Ausstellung getrennter Steuerrechnungen verlangt habe.</w:t>
      </w:r>
    </w:p>
    <w:p>
      <w:r>
        <w:rPr>
          <w:b/>
        </w:rPr>
        <w:t>E. 5.2</w:t>
      </w:r>
    </w:p>
    <w:p>
      <w:r>
        <w:t>Die Ausführungen der Beschwerdeführerin und ihres Ehemannes zu ihrem Eheleben sind nachvollziehbar und lassen nicht auf eine Scheinehe schliessen. Durch die berufsbedingte Abwesenheit der Beschwerdegegnerin unter der Woche und die gemeinsamen Ausflüge an den Wochenenden ausserhalb des Dorfes liegt es auf der Hand, dass die Ehegatten in A._______ nicht oft gemeinsam gesehen werden. Während die Beschwerdegegnerin für ihre Version des Ehelebens (gemeinsame Ausflüge und Besuch von Veranstaltungen, Einladung von Freunden bei den Ehegatten zuhause usw.) entsprechende Referenzschreiben vorlegen kann (vgl. E. 4 vorstehend; nochmals bestätigt durch die am 5. Januar 2009 eingereichten Schreiben vom 21. und 22. November sowie vom 16. Dezember 2008), stellt die Beschwerdeführerin lediglich Mutmassungen auf. Auch wenn davon auszugehen ist, dass ein Bürgerrechtsbewerber in aller Regel nur Referenzen von ihm wohlgesinnten Personen zu den Akten reichen wird, schliesst dieser Umstand nicht aus, dass aus den entsprechenden Auskünften zuverlässige Rückschlüsse auf das Eheleben gezogen werden können. Vorliegend ergeben diese Referenzen durchaus ein kohärentes Bild über das von beiden Ehegatten übereinstimmend dargelegte Eheleben. Dass die Beschwerdegegnerin, obwohl sie aufgrund ihrer Arbeit nicht oft mit ihrem Ehemann zusammen sein kann, einmal im Jahr allein in ihr Herkunftsland (Ukraine) reist, spricht ebenfalls nicht gegen ein intaktes Eheleben.</w:t>
      </w:r>
    </w:p>
    <w:p>
      <w:r>
        <w:rPr>
          <w:b/>
        </w:rPr>
        <w:t>E. 5.3</w:t>
      </w:r>
    </w:p>
    <w:p>
      <w:r>
        <w:t>Ob der Ehemann tatsächlich die Ausstellung getrennter Steuerrechnungen verlangt hat (gemäss den Ausführungen der Beschwerdeführerin soll er dies sogar mehrmals verlangt haben), kann letztlich offenbleiben. Schliesslich können daraus - wie im Übrigen auch aus einer Ehe, bei der die Güter getrennt sind - keine direkten Rückschlüsse auf das Eheleben bzw. auf das Führen einer Scheinehe gezogen werden.</w:t>
      </w:r>
    </w:p>
    <w:p>
      <w:r>
        <w:rPr>
          <w:b/>
        </w:rPr>
        <w:t>E. 6.1</w:t>
      </w:r>
    </w:p>
    <w:p>
      <w:r>
        <w:t>In ihrer Replik vom 2. März 2009 sowie in den ergänzenden Eingaben vom 17. Juni und 30. Oktober 2009 bringt die Beschwerdeführerin erstmals vor, dass die Beschwerdegegnerin ihren Ehemann noch nie unterstützt habe. Insbesondere sei sie nicht bereit, sich an den Kosten des Hauses (Hypothekarzinsen) zu beteiligen. Die Beschwerdeführerin stützt sich dabei auf ein Schreiben des Sozialdienstes der Gemeinde, welcher der Beschwerdegegnerin in diesem Zusammenhang einen Verstoss gegen Art. 163 ZGB vorwirft (Verletzung der familiären Unterhaltspflicht).</w:t>
      </w:r>
    </w:p>
    <w:p>
      <w:r>
        <w:rPr>
          <w:b/>
        </w:rPr>
        <w:t>E. 6.2</w:t>
      </w:r>
    </w:p>
    <w:p>
      <w:r>
        <w:t>Auch dieser Vorwurf der Beschwerdeführerin überzeugt nicht. Einerseits legt die Beschwerdegegnerin glaubhaft dar, dass sie schon durch die Mitarbeit im Haushalt (u.a. Wäschewaschen und Gartenarbeiten) einen nicht-finanziellen Beitrag zum gemeinsamen Haushalt erbringt. Andererseits beweist sie mit den am 16. Dezember 2009 eingereichten Rechnungskopien, Quittungen und Kontoauszügen im Gegenteil klar, dass sie sehr wohl einen massgeblichen Teil an die Kosten des gemeinsamen Haushalts beiträgt (u.a. Bezahlung der Steuerraten, der Fernseh- und Telefongebühren sowie der Stromrechnungen, Bezahlung der Rechnungen für Wasser und Abwasser und für die Anschaffung von verschiedenen Haushaltsartikeln und -geräten). Wenn man berücksichtigt, dass der Ehemann, seitdem er arbeitslos ist und kein Vermögen mehr hat, lediglich noch Einnahmen von Fr. 2'208.- pro Monat für die Vermietung eines Teils seines Hauses erzielt, was nicht einmal ganz für die Bezahlung der Hypothekarzinsen (Fr. 27'500.- pro Jahr) ausreicht, so liegt es auf der Hand, dass der ganze Rest der Haushaltskosten von der Beschwerdegegnerin getragen wird. Bis jetzt wurden denn auch - soweit bekannt - sämtliche Rechnungen (inkl. die Raten für die Hypothekarzinsen) bezahlt und die Ehegatten mussten keine Sozialhilfe beziehen. Hinzu kommt, dass der Sohn des Ehemannes, der ebenfalls im gleichen Haushalt lebt, offenbar keinen Beitrag für Kost und Logis leistet, was von der Beschwerdegegnerin akzeptiert wird. Vor diesem Hintergrund ist es unerfindlich, wie die Beschwerdeführerin überhaupt dazu kam, der Beschwerdegegnerin vorzuwerfen, sie habe ihren Ehemann noch nie unterstützt und gegen Art. 163 ZGB verstossen.</w:t>
      </w:r>
    </w:p>
    <w:p>
      <w:r>
        <w:rPr>
          <w:b/>
        </w:rPr>
        <w:t>E. 7</w:t>
      </w:r>
    </w:p>
    <w:p>
      <w:r>
        <w:t>Aufgrund der vorliegenden Akten gelangt das Bundesverwaltungsgericht zum Schluss, dass die Beschwerdegegnerin mit dem schweizerischen Ehegatten in einer tatsächlichen ehelichen Gemeinschaft lebt, welche vom beidseitigen Willen getragen wird, die Ehe auch zukünftig aufrecht zu erhalten. Begründete Zweifel bezüglich eines solchen Willens sind nicht vorhanden bzw. konnten nicht glaubhaft dargelegt werden. Auch reichen die von der Beschwerdeführerin vorgebrachten Umstände, soweit sie nicht entkräftet wurden (Arbeit als Tänzerin bzw. die dadurch bedingte Abwesenheit vom Familienwohnsitz unter der Woche, Ferienaufenthalt der Beschwerdegegnerin in ihrem Herkunftsland ohne den Ehegatten) bei Weitem nicht aus, um auf das Führen einer Scheinehe zu schliessen. Die Voraussetzungen der erleichterten Einbürgerung gemäss Art. 27 Abs. 1 BüG sind demnach erfüllt.</w:t>
      </w:r>
    </w:p>
    <w:p>
      <w:r>
        <w:rPr>
          <w:b/>
        </w:rPr>
        <w:t>E. 8</w:t>
      </w:r>
    </w:p>
    <w:p>
      <w:r>
        <w:t>Nach dem Gesagten erweist sich die angefochtene Verfügung als bundesrechtskonform (vgl. Art. 49 VwVG). Die Beschwerde ist daher abzuweisen.</w:t>
      </w:r>
    </w:p>
    <w:p>
      <w:r>
        <w:rPr>
          <w:b/>
        </w:rPr>
        <w:t>E. 9</w:t>
      </w:r>
    </w:p>
    <w:p>
      <w:r>
        <w:t>Die Verfahrenskosten sind grundsätzlich der unterliegenden Partei aufzuerlegen (vgl. Art. 63 Abs. 1 VwVG i.V.m. Art. 1, Art. 2 und Art. 3 Bst. b des Reglements vom 21. Februar 2008 über die Kosten und Entschädigungen vor dem Bundesverwaltungsgericht (VGKE, SR 173.320.2). Von Vorinstanzen oder beschwerdeführenden und unterliegenden Bundesbehörden werden keine Verfahrenskosten erhoben. Anderen als Bundesbehörden, die Beschwerde führen und unterliegen, werden nur Verfahrenskosten auferlegt, soweit sich der Streit um vermögensrechtliche Interessen von Körperschaften oder autonomen Anstalten dreht (vgl. Art. 63 Abs. 2 VwVG). Im Falle der Beschwerdeführerin ist daher auf die Erhebung von Verfahrenskosten zu verzichten. Hingegen hat die unterliegende Beschwerdeführerin der obsiegenden Beschwerdegegnerin für die durch die anwaltliche Vertretung erwachsenen notwendigen Kosten eine Parteientschädigung in gerichtlich festgelegter Höhe zu entrichten (vgl. Art. 64 Abs. 1 VwVG i.V.m. Art. 7 ff. VGKE).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