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C-4605/2016 vom 31. August 2018</w:t>
      </w:r>
    </w:p>
    <w:p>
      <w:r>
        <w:t>Bundesverwaltungsgericht, 2018-08-31, FR</w:t>
      </w:r>
    </w:p>
    <w:p>
      <w:r>
        <w:rPr>
          <w:b/>
        </w:rPr>
        <w:t xml:space="preserve">Quelle: </w:t>
      </w:r>
      <w:r>
        <w:t>https://mcp.opencaselaw.ch/entscheid/bvger_C-4605_2016</w:t>
      </w:r>
    </w:p>
    <w:p>
      <w:r>
        <w:t>FR: TAF C-4605/2016 du 31 août 2018</w:t>
      </w:r>
    </w:p>
    <w:p>
      <w:r>
        <w:t>IT: TAF C-4605/2016 del 31 agosto 2018</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En outre, déposé en temps utile, dans les formes requises par la loi (art. 60 LPGA et art. 52 PA) et l'avance de frais ayant été payée, le recours est recevable.</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(ci-dessus, catégorie 1) formaient le socle de base pour l'examen du caractère invalidant du trouble somatoforme douloureux (ATF 141 V 281 consid. 4.3). Les conséquences tirées de cet examen doivent ensuite être examinées à l'aune des indicateurs se rapportant à la cohérence (ci-dessus, catégorie 2). Le Tribunal fédéral a également expliqué que ce catalogue d'indicateurs devait être appliqué en fonction des circonstances de chaque cas individuel et ne constituait pas une simple "check list". En outre, il ne saurait être considéré comme immuable. Au contraire, il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la référence citée ; arrêt du Tribunal fédéral 9C_716/2015 du 30 novembre 2015, consid. 4.1).</w:t>
      </w:r>
    </w:p>
    <w:p>
      <w:r>
        <w:rPr>
          <w:b/>
        </w:rPr>
        <w:t>E. 2.3</w:t>
      </w:r>
    </w:p>
    <w:p>
      <w:r>
        <w:t>En l'occurrence, l'intéressé est un ressortissant français résidant en France, soit dans un Etat membre de l'Union européenne (AI pce 19). Vu la date de la demande de prestations (23 septembre 2002) et la date de la décision attaquée (14 juillet 2016), les dispositions légales de droit suisse, en particulier le premier volet de la 6e révision en vigueur depuis le 1er janvier 2012, mais aussi les dispositions en vigueur depuis 2005 et les dispositions en vigueur dans leur teneur au jour de la décision attaquée sont applicables. Par ailleurs, le Tribunal de céans se fondera sur l'état de fait, y compris l'état de santé de l'intéressé, au jour de la décision, soit au 14 juillet 2016. Les éléments de fait postérieurs à cette date ne devant, en principe, pas être pris en considération, sauf s'ils permettent une meilleure compréhension de l'état de santé du recourant antérieur à la décision attaquée (ATF 130 V 445, consid. 5 ; voir également arrêt du Tribunal administratif fédéral C-31/2013 du 14 janvier 2014, consid. 3.1).</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4.1</w:t>
      </w:r>
    </w:p>
    <w:p>
      <w:r>
        <w:t>Par décision du 14 juillet 2016, l'OAIE a supprimé la rente d'invalidité à compter du 1er septembre 2016, au motif que le recourant présentait une capacité totale de travail dans une activité adaptée telle qu'assistant de bureau car l'état de santé s'était amélioré selon l'expertise psychiatrique. Il a argué que le degré d'invalidité n'était dès lors plus que de 0,55% en tenant compte d'un revenu 2015 sans invalidité comme plâtrier-peintre de CHF 69'615.00, d'un revenu 2015 avec invalidité comme assistant de bureau de CHF 69'229.00 et d'une perte de gain de CHF 386.00.</w:t>
      </w:r>
    </w:p>
    <w:p>
      <w:r>
        <w:rPr>
          <w:b/>
        </w:rPr>
        <w:t>E. 4.2</w:t>
      </w:r>
    </w:p>
    <w:p>
      <w:r>
        <w:t>Le recourant demande en substance l'annulation de la décision attaquée et l'octroi d'une demi-rente d'invalidité aussi pour la période après le 31 août 2016. Il fait valoir que l'AI lui a reconnu une demi-rente d'invalidité après une formation de bureau et que ses recherches d'emploi en France par un organisme spécialisé ont montré qu'il ne peut pas trouver un emploi même dans des structures adaptées vu le niveau de formation trop faible, son âge et sa totale inexpérience dans le domaine de formation. Il a joint à son recours différents documents, en particulier une reconnaissance française de Travailleur handicapé pour la période du 28 juin 2016 au 27 juin 2021 ainsi qu'un certificat médical de la Dresse T._______ du 8 décembre 2015, selon lequel il n'y a pas eu de modification significative dans l'état de santé, l'état fonctionnel ou le handicap depuis le 26 janvier 2007 (TAF pce 1).</w:t>
      </w:r>
    </w:p>
    <w:p>
      <w:r>
        <w:rPr>
          <w:b/>
        </w:rPr>
        <w:t>E. 4.3</w:t>
      </w:r>
    </w:p>
    <w:p>
      <w:r>
        <w:t>L'OAIE, quant à lui, dans sa réponse du 3 novembre 2016, conclut au rejet du recours et à la confirmation de la décision attaquée. Il renvoie à la prise de position de l'OAI-VD du 20 octobre 2016, qui mentionne que la rente a été supprimée sur la base de l'expertise du Dr W._______ qui a constaté qu'il n'y avait plus d'incapacité de travail et que cette expertise a valeur probante (TAF pce 8).</w:t>
      </w:r>
    </w:p>
    <w:p>
      <w:r>
        <w:rPr>
          <w:b/>
        </w:rPr>
        <w:t>E. 4.4</w:t>
      </w:r>
    </w:p>
    <w:p>
      <w:r>
        <w:t>Le point litigieux dans le cas présent est de savoir s'il existe un motif de révision, à savoir si l'état de santé du recourant s'est modifié de manière à influencer le droit à la rente depuis la dernière décision entrée en force, soit la décision du 28 octobre 2010.</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5.2</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outre, le droit ne prend pas naissance tant que l'assuré peut faire valoir son droit à une indemnité journalière au sens de l'art. 22 LAI (art. 29 al. 2 LAI).</w:t>
      </w:r>
    </w:p>
    <w:p>
      <w:r>
        <w:rPr>
          <w:b/>
        </w:rPr>
        <w:t>E. 5.3</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5.5</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5.6</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5.7</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5.8</w:t>
      </w:r>
    </w:p>
    <w:p>
      <w:r>
        <w:t>Dans un arrêt de principe 141 V 281 du 3 juin 2015, le Tribunal fédéral a fixé que la capacité de travail exigible des personnes souffrant d'un trouble somatoforme douloureux ou d'une atteinte psychosomatique semblable (cf. consid. 4.2 de l'arrêt) devait être évaluée sur la base d'une vision d'ensemble, dans le cadre d'une procédure d'établissement de faits structurée (par des indicateurs standards) et normative, permettant de mettre en lumière les facteurs incapacitants d'une part et les ressources de la personne d'autre part (consid. 3.5 et 3.6 de l'arrêt). Dans un arrêt du 30 novembre 2017 (143 V 418), le Tribunal fédéral a précisé que sa jurisprudence concernant l'application d'une grille d'évaluation normative et structurée était valable pour toutes les affections psychiques (consid. 6 et 7 de l'arrêts). Le Tribunal fédéral a décrit les indicateurs standards permettant d'évaluer le caractère invalidant des affections psychiques en les répartissant dans les deux catégories suivantes : 1. Catégorie "degré de gravité fonctionnel"</w:t>
      </w:r>
    </w:p>
    <w:p>
      <w:r>
        <w:rPr>
          <w:b/>
        </w:rPr>
        <w:t>E. 5.9</w:t>
      </w:r>
    </w:p>
    <w:p>
      <w:r>
        <w:t>S'agissant des rapports des SMR au sens des art. 59 al. 2bis LAI et 49 al. 1 et 3 du règlement du 17 janvier 1961 sur l'assurance-invalidité (RAI, RS 831.201),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5.10.1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Valterio, op. cit., n° 3054 ss, 3065).</w:t>
      </w:r>
    </w:p>
    <w:p>
      <w:r>
        <w:rPr>
          <w:b/>
        </w:rPr>
        <w:t>E. 5.10.2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w:t>
      </w:r>
    </w:p>
    <w:p>
      <w:r>
        <w:rPr>
          <w:b/>
        </w:rPr>
        <w:t>E. 5.10.3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Tribunal fédéral I 532/05 du 13 juillet 2006 consid. 3; I 561/05 du 31 mars 2006 consid. 3.3;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w:t>
      </w:r>
    </w:p>
    <w:p>
      <w:r>
        <w:rPr>
          <w:b/>
        </w:rPr>
        <w:t>E. 5.10.4</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Michel Valterio, Droit de l'assurance-vieillesse et survivants [AVS] et de l'assurance-invalidité [AI], 2011,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Ces dispositions s'appliquent par analogie lors de l'octroi d'une rente limitée dans le temps.</w:t>
      </w:r>
    </w:p>
    <w:p>
      <w:r>
        <w:rPr>
          <w:b/>
        </w:rPr>
        <w:t>E. 6.1</w:t>
      </w:r>
    </w:p>
    <w:p>
      <w:r>
        <w:t>En l'occurrence, suite à une agression sur la voie publique dans la nuit du 8 au 9 mai 2001, le recourant n'a pas pu reprendre son travail de plâtrier-peintre de manière durable et a été mis au bénéfice de prestations de l'assurance-invalidité, en autres une formation d'assistant de bureau entre août 2008 et août 2010. Trois mois après le terme de ces mesures professionnelles, soit à partir du 1er novembre 2010, l'autorité inférieure a diminué la rente entière (qu'il avait accordée par décision sur opposition du 12 novembre 2008 à compter du 1er décembre 2005 [AI pce 161] et dont le versement avait été suspendu pendant le versement des indemnités journalières) à une demi-rente par décision du 28 octobre 2010 (AI pce 201). La décision du 28 octobre 2010 est la dernière décision entrée en force, examinant matériellement le droit à la rente, fondée sur une instruction des faits, une appréciation des preuves et une comparaison des revenus conforme au droit et constitue donc selon la jurisprudence du Tribunal fédéral le point de départ pour examiner si le taux d'invalidité s'est modifié de manière à influencer le droit aux prestations.</w:t>
      </w:r>
    </w:p>
    <w:p>
      <w:r>
        <w:rPr>
          <w:b/>
        </w:rPr>
        <w:t>E. 6.2</w:t>
      </w:r>
    </w:p>
    <w:p>
      <w:r>
        <w:t>Dans sa réponse du 3 novembre 2016, l'OAIE renvoie à la prise de position de l'OAI-VD du 20 octobre 2016, qui mentionne correctement que la procédure de révision doit reposer sur un motif valable, qu'il ne suffit pas qu'une situation, restée inchangée pour l'essentiel, soit appréciée d'une manière différente et que la question de savoir si un tel changement s'est produit doit être appréciée en comparant les faits tels qu'ils se présentaient au moment de la dernière décision entrée en force. Toutefois, il est inexplicable que l'OAI-VD cite dans sa prise de position du 20 octobre 2016 que le point de comparaison est « la prise de position du 28 mars 2011 » puisque la dernière décision date du 28 octobre 2010 et qu'aucune prise de position du 28 mars 2011 ne figure au dossier, mais deux communications internes des 10 et 31 mars 2011 (AI pces 206 et 207). De plus, l'OAI-VD n'examine pas, par la suite, si l'expertise du Dr W._______ du 17 décembre 2015 permet d'admettre qu'il y a eu une amélioration de l'état de santé depuis la décision du 28 octobre 2010 (voire depuis la prétendue prise de position du 28 mars 2011), mais se contente d'affirmer que cette expertise met en évidence une pleine capacité de travail et a valeur probante (TAF pce 8).</w:t>
      </w:r>
    </w:p>
    <w:p>
      <w:r>
        <w:rPr>
          <w:b/>
        </w:rPr>
        <w:t>E. 6.3</w:t>
      </w:r>
    </w:p>
    <w:p>
      <w:r>
        <w:t>Il s'agit donc d'examiner s'il faut tenir compte d'une amélioration sur la base de l'expertise du Dr W._______ qui est le seul fondement de l'argumentation de l'OAIE. Le Tribunal constate que le Dr W._______ indique une amélioration progressive et stable de l'état psychique depuis 2006 (et non depuis la décision du 28 octobre 2010). En effet, l'expert ne retient que deux diagnostics sans influence sur la capacité de travail et mentionne que l'un des diagnostics (trouble anxieux et dépressif mixte) existe depuis 2010, tandis que l'autre (accentuation de traits de personnalité narcissique) existe depuis probablement l'âge de jeune adulte, soit déjà avant l'agression de 2001. Le Dr W._______ mentionne expressément l'absence d'une agoraphobie, d'une phobie sociale et d'un état de stress post traumatique. Il base son appréciation sur le fait que le recourant peut suivre des cours de formation, fréquente des endroits publics comme des supermarchés et des piscines, peut faire des trajets en voiture, a acheté un appartement, a une nouvelle relation sentimentale et se rend régulièrement au centre de D._______ où a eu lieu l'agression sans avoir des flash-backs. Le Tribunal constate que tous ces éléments étaient déjà présents et connus au plus tard lors de la décision du 28 octobre 2010. En effet, le Dr Q._______ avait déjà indiqué dans son rapport d'expertise du 27 juin 2006 que, malgré l'agoraphobie, le recourant restait capable de se rendre dans un supermarché, un cinéma ou un restaurant. Cet expert avait également mentionné que le recourant faisait de la natation et avait une nouvelle amie depuis quelques mois (AI pce 87 page 7). Le Dr P._______ lors de son expertise en juin 2006 avait également indiqué que le recourant avait une nouvelle relation sentimentale (AI pce 75 page 8). Il avait diagnostiqué un état post traumatique parce que l'agression continuait de hanter le recourant même s'il n'avait pas de flash-backs (AI pce 75 pages 7 et 11). Selon les indications du Dr W._______, lors de l'expertise de décembre 2015, le recourant ne fréquentait régulièrement que trois personnes : son fils né en 2014, sa compagne actuelle et sa mère. En effet, le recourant a déclaré ne voir son fils né en 1995 que deux fois par année et ne plus avoir rencontré la mère de celui-ci depuis quatre ans. Le recourant a de plus mentionné qu'il rencontrait un neveu une fois par an et n'avait pas repris le contact avec ses amis et n'avait pas de contact avec ses soeurs (AI pce 240 page 160). Dans ces conditions, le Tribunal de céans ne voit pas en quoi la phobie sociale aurait diminué depuis la date de la dernière décision du 28 octobre 2010. Certes le recourant a déclaré en décembre 2015 qu'il avait repris des voyages en avion en Croatie depuis 2010 (AI pce 240 page 16), mais là encore il faut souligner que c'était donc déjà le cas au moment de la décision du 28 octobre 2010. Il ressort du dossier que le recourant était déjà capable d'effectuer plusieurs fois par semaine les trajets en voiture d'environ 45km entre Publier (où il était domicilié entre septembre 2006 et septembre 2010) et Aigle pour suivre la formation d'assistant de bureau pendant deux ans d'août 2008 à août 2010. Le fait que le recourant se soit rendu en voiture à Lausanne le jour de l'expertise ne permet pas de conclure à une amélioration. On pourrait tout aussi bien argumenter que le recourant utilise sa voiture malgré les problèmes qu'il éprouve en conduisant pour éviter de devoir utiliser les transports publics, cet élément prouvant que l'agoraphobie et la phobie sociale sont toujours présents. Peu avant que la dernière décision du 28 octobre 2010 soit rendue, le recourant a déménagé de (...) à D._______. Il a pris un appartement à (adresse) où il habite encore actuellement. Il est donc allé s'établir (à nouveau) plus près du lieu de l'agression de 2001. Lors de l'expertise du Dr W._______ en 2015, le recourant a indiqué qu'il avait acheté cet appartement trois ans auparavant, donc en 2012. Il est donc possible que le recourant n'ait pas acheté cet appartement déjà en 2010 (donc avant la dernière décision), mais seulement en 2012. Cependant, on ne voit pas le lien que le Dr W._______ semble établir entre le fait que le recourant soit propriétaire et non plus locataire de l'appartement et son état de santé psychique. Dans tous les cas, cela ne suffit pour conclure à une amélioration de l'état de santé.</w:t>
      </w:r>
    </w:p>
    <w:p>
      <w:r>
        <w:rPr>
          <w:b/>
        </w:rPr>
        <w:t>E. 6.4</w:t>
      </w:r>
    </w:p>
    <w:p>
      <w:r>
        <w:t>Le Tribunal administratif fédéral arrive à la conclusion que l'évaluation du Dr W._______ a certes valeur probante (les points litigieux importants ont fait l'objet d'une étude circonstanciée, le rapport se fonde sur des examens complets, il prend en considération les plaintes exprimées par la personne examinée, il a été établi en pleine connaissance de l'anamnèse, la description du contexte médical et l'appréciation de la situation médicale sont claires et les conclusions de l'expert sont motivées ; ATF 125 V 351 consid. 3a), mais considère que cette expertise est une autre appréciation d'un état de santé resté le même pour l'essentiel, ce qui ne constitue pas un motif de révision (arrêts du Tribunal fédéral I 532/05 du 13 juillet 2006 consid. 3; I 561/05 du 31 mars 2006 consid. 3.3; ATF 112 V 371 consid. 2b ; cf. supra consid. 5.10.3). Etant donné que l'OAIE ne se base que sur l'expertise du Dr W._______ pour prouver une amélioration de l'état de santé et que les autres pièces médicales du dossier ne démontrent pas d'amélioration, les conditions de l'art. 17 LPGA ne sont pas remplies puisqu'il n'y a pas de motif de révision. C'est donc à tort que l'OAIE a supprimé la rente d'invalidité à compter du 1er septembre 2016. Il convient par conséquent d'admettre le recours et d'annuler la décision attaquée du 14 juillet 2016.</w:t>
      </w:r>
    </w:p>
    <w:p>
      <w:r>
        <w:rPr>
          <w:b/>
        </w:rPr>
        <w:t>E. 7.1</w:t>
      </w:r>
    </w:p>
    <w:p>
      <w:r>
        <w:t>Vu l'issue de la cause, il n'y a en l'occurrence pas lieu de percevoir de frais de procédure (art. 63 al. 1 et 2 PA). L'avance de frais de CHF 400.- versée par le recourant lui sera en conséquence restituée dès l'entrée en force du présent arrêt, à charge pour ce dernier de communiquer un numéro de compte bancaire au moyen duquel le remboursement puisse intervenir.</w:t>
      </w:r>
    </w:p>
    <w:p>
      <w:r>
        <w:rPr>
          <w:b/>
        </w:rPr>
        <w:t>E. 7.2</w:t>
      </w:r>
    </w:p>
    <w:p>
      <w:r>
        <w:t>Le recourant, non représenté par un mandataire professionnel, n'a pas droit à une indemnité de dépens (art. 7 al. 4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