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C-4604/2007 vom 23. Januar 2008</w:t>
      </w:r>
    </w:p>
    <w:p>
      <w:r>
        <w:t>Bundesverwaltungsgericht, 2008-01-23, DE</w:t>
      </w:r>
    </w:p>
    <w:p>
      <w:r>
        <w:rPr>
          <w:b/>
        </w:rPr>
        <w:t xml:space="preserve">Quelle: </w:t>
      </w:r>
      <w:r>
        <w:t>https://mcp.opencaselaw.ch/entscheid/bvger_C-4604_2007</w:t>
      </w:r>
    </w:p>
    <w:p>
      <w:r>
        <w:t>FR: TAF C-4604/2007 du 23 janvier 2008</w:t>
      </w:r>
    </w:p>
    <w:p>
      <w:r>
        <w:t>IT: TAF C-4604/2007 del 23 gennaio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Mit Inkrafttreten des Bundesgesetzes vom 16. Dezember 2005 über die Ausländerinnen und Ausländer (AuG, SR 142.20) am 1. Januar 2008 wurde das bisher geltende Bundesgesetz vom 26. März 1931 über Aufenthalt und Niederlassung der Ausländer (aANAG, BS 1 121) aufgehoben (Art. 125 i.V.m. Anhang I AuG). Das bisherige Recht bleibt jedoch auf Gesuche anwendbar, die vor dem Inkrafttreten des AuG eingereicht wurden (Art. 126 Abs. 1 AuG). Da das der Beschwerde zugrunde liegende Gesuch um Einreise am 2. Mai 2007 eingereicht wurde, finden somit die zu diesem Zeitpunkt geltenden Bestimmungen des aANAG sowie die gestützt darauf erlassenen Vollziehungsvorschriften (Art. 25 aANAG) Anwendung.</w:t>
      </w:r>
    </w:p>
    <w:p>
      <w:r>
        <w:rPr>
          <w:b/>
        </w:rPr>
        <w:t>E. 1.3</w:t>
      </w:r>
    </w:p>
    <w:p>
      <w:r>
        <w:t>Gemäss den Übergangsbestimmungen richtet sich das Verfahren nach dem neuen Recht (Art. 126 Abs. 2 AuG), womit nach Art. 112 Abs. 1 AuG die allgemeinen Bestimmungen der Bundesrechtspflege anwendbar sind. Sofern das Verwaltungsgerichtsgesetz nichts anderes bestimmt, richtet sich das Verfahren vor dem Bundesverwaltungsgericht somit nach dem VwVG (Art. 37 VGG).</w:t>
      </w:r>
    </w:p>
    <w:p>
      <w:r>
        <w:rPr>
          <w:b/>
        </w:rPr>
        <w:t>E. 1.4</w:t>
      </w:r>
    </w:p>
    <w:p>
      <w:r>
        <w:t>Der Beschwerdeführer ist als Verfügungsadressat zur Anfechtung der Verfügung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Urteile des Bundesverwaltungsgerichts C-389/2006 vom 4. Juni 2007 E. 2, C-81/2006 vom 13. März 2007 E. 3 [mit Hinweisen]).</w:t>
      </w:r>
    </w:p>
    <w:p>
      <w:r>
        <w:rPr>
          <w:b/>
        </w:rPr>
        <w:t>E. 3.1</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der Verordnung vom 14. Januar 1998 über Einreise und Anmeldung von Ausländerinnen und Ausländern [aVEA, AS 1998 194]).</w:t>
      </w:r>
    </w:p>
    <w:p>
      <w:r>
        <w:rPr>
          <w:b/>
        </w:rPr>
        <w:t>E. 3.2</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 / Peter Münch / Thomas Geiser / Martin Arnold (Hrsg.), Ausländerrecht, Ausländerinnen und Ausländer im öffentlichen Recht, Privatrecht, Steuerrecht und Sozialrecht der Schweiz, Basel/Genf/ 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aANAG i.V.m. den nachstehenden Visumsbestimmungen).</w:t>
      </w:r>
    </w:p>
    <w:p>
      <w:r>
        <w:rPr>
          <w:b/>
        </w:rPr>
        <w:t>E. 3.3</w:t>
      </w:r>
    </w:p>
    <w:p>
      <w:r>
        <w:t>Das Visum wird verweigert, wenn die Ausländerin oder der Ausländer die Einreisevoraussetzungen nach Art. 1 aVEA nicht erfüllt (vgl. Art. 14 Abs. 1 aVEA). So müssen Personen, die in die Schweiz reisen möchten, unter anderem Gewähr bieten, dass sie fristgerecht wieder ausreisen werden (Art. 1 Abs. 2 Bst. c. aVEA).</w:t>
      </w:r>
    </w:p>
    <w:p>
      <w:r>
        <w:rPr>
          <w:b/>
        </w:rPr>
        <w:t>E. 4.1</w:t>
      </w:r>
    </w:p>
    <w:p>
      <w:r>
        <w:t>Die Gesuchstellerin kann sich auf keine Ausnahmeregelung berufen und unterliegt aufgrund ihrer Nationalität den Visumsbestimmungen (vgl. Art. 1-5 aVEA).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4.3</w:t>
      </w:r>
    </w:p>
    <w:p>
      <w:r>
        <w:t>Die Wirtschaft Sri Lankas ist 2005 real um 5,3% gewachsen. Das Pro-Kopf-Einkommen betrug fast 1200 US-Dollar, das Bruttoinlandprodukt (BIP) 23,6 Mrd. US-Dollar. Durch die restriktive Geldpolitik der Zentralbank konnte die Inflationsrate - bei kurzfristigen Ausreissern - immer wieder eingedämmt werden und soll 2006 unter 10% geblieben sein. Die Arbeitslosigkeit beträgt seit längerer Zeit ungefähr 8%.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allerdings nicht über die Tatsache hinwegtäuschen, dass nach wie vor breite Bevölkerungsschichten von vergleichsweise schwierigen ökonomischen und sozialen Lebensbedingungen betroffen sind. Darüber hinaus hat sich die Sicherheitslage im ganzen Land seit Ende 2006 wieder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was gemäss Einschätzungen des Eidgenössischen Departements für Auswärtige Angelegenheiten (EDA) eine Zunahme von Gewaltakten im ganzen Land nach sich ziehen könnte (vgl. Quellen: Länder- und Reiseinformationen auf der Website des Auswärtigen Amtes, &lt;www.auswaertiges-amt.de&gt;, besucht am 8. Januar 2008; Reisehinweise auf der Website des EDA, &lt;www.eda.admin.ch&gt;, besucht am 8. Januar 2008).</w:t>
      </w:r>
    </w:p>
    <w:p>
      <w:r>
        <w:rPr>
          <w:b/>
        </w:rPr>
        <w:t>E. 4.4</w:t>
      </w:r>
    </w:p>
    <w:p>
      <w:r>
        <w:t>In Anbetracht dieser schwierigen allgemeinen Lage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5.1</w:t>
      </w:r>
    </w:p>
    <w:p>
      <w:r>
        <w:t>Die 56-jährige Gesuchstellerin stammt aus D._______ im Norden Sri Lankas und ist gemäss eigenen Angaben Hausfrau. Hinsichtlich der vorgebrachten familiären Verpflichtungen bestätigt ein zwecks der Visaerteilung ausgestelltes Schreiben des "Divisional Secretariat" in D._______ vom 16. Mai 2007, der pensionierte Ehemann sowie zwei Söhne der Gesuchstellerin würden in Sri Lanka leben. Zwar dürften diese familiären Beziehungen und das Alter der Gesuchstellerin für eine gewisse Verwurzelung im Heimatland sprechen (vgl. Urteile des Bundesverwaltungsgericht C-986/2006 vom 10. Oktober 2007 E. 4.2, C-826/2006 vom 24. Mai 2007). Inwiefern die Gesuchstellerin für ihre Familienangehörigen zu sorgen hat, wie im Schreiben der Einwohnergemeinde vom 3. Juli 2007 vorgebracht wurde, geht indes aus den eingereichten Unterlagen nicht hervor. Der Umstand, dass der Aufenthalt der Gesuchstellerin im Jahr 2004 bzw. 2005 insgesamt sechs Monate dauerte, lässt jedoch darauf schliessen, dass die familiären Verpflichtungen einer längeren Abwesenheit der Gesuchstellerin nicht entgegenstehen dürften. Die geltend gemachten familiären Aufgaben im Heimatland bieten daher keine hinreichende Gewähr für eine fristgerechte Ausreise der Gesuchstellerin nach erfolgtem Besuchsaufenthalt. Die Einwohnergemeinde B._______ weist zwar auf die anstandlose Wiederausreise der Gesuchstellerin nach ihrem früheren Aufenthalt in der Schweiz hin. Massgebend zur Beurteilung der gesicherten Wiederausreise ist gemäss Ziff. 2 jedoch die Sachlage zum Zeitpunkt des Entscheides. Angesichts der seit ihrem Besuchsaufenthalt veränderten allgemeinen Sicherheitslage, die sich insbesondere im Norden Sri Lankas verschlechterte (vgl. Ziff. 3.3), vermag das frühere Verhalten nicht auszureichen, um die Wiederausreise als gesichert zu erachten.</w:t>
      </w:r>
    </w:p>
    <w:p>
      <w:r>
        <w:rPr>
          <w:b/>
        </w:rPr>
        <w:t>E. 5.2</w:t>
      </w:r>
    </w:p>
    <w:p>
      <w:r>
        <w:t>Demnach lassen die persönlichen Verhältnisse der Gesuchstellerin nicht auf eine hinreichend gesicherte Wiederausreise schliessen. Die geleistete Garantierklärung vom 8. Juni 2007 bzw. die Zusicherung des Beschwerdeführers, er werde sich um die fristgemässe Wiederausreise der Gesuchstellerin kümmern, führen zu keinem anderen Ergebnis. Der Beschwerdeführer kann weder aufgrund der Garantieerklärung noch der Zusicherung dazu angehalten werden, die fristgerechte Ausreise der Gesuchstellerin zu veranlassen, weshalb in erster Linie die Verhältnisse der Beschwerdeführerin ausreichende Gewähr für eine fristgerechte Wiederausreise bieten müssen (vgl. Art. 1 Abs. 2 Bst. c aVEA; Urteile des Bundesverwaltungsgerichts C-986/2006 vom 10. Oktober 2007 E. 4.3, C-1000/2006 vom 4. Juni 2007 E. 4.5, C-778/2006 vom 9. Mai 2007 E. 5).</w:t>
      </w:r>
    </w:p>
    <w:p>
      <w:r>
        <w:rPr>
          <w:b/>
        </w:rPr>
        <w:t>E. 6.1</w:t>
      </w:r>
    </w:p>
    <w:p>
      <w:r>
        <w:t>Aus diesen Gründen hat die Vorinstanz zu Recht das öffentliche Interesse sowie die Beachtung der geltenden Bestimmungen entsprechend hoch gewichtet und der Gesuchstellerin die Einreise verweigert. Die angefochtene Verfügung ist somit im Lichte von Art. 49 VwVG nicht zu beanstanden.</w:t>
      </w:r>
    </w:p>
    <w:p>
      <w:r>
        <w:rPr>
          <w:b/>
        </w:rPr>
        <w:t>E. 6.2</w:t>
      </w:r>
    </w:p>
    <w:p>
      <w:r>
        <w:t>Die Beschwerde ist folglich abzuweisen und die Verfahrenskosten sind dem Beschwerdeführer aufzuerlegen (Art. 63 Abs. 1 VwVG i.V.m. Art. 1 und Art. 2 sowie Art. 3 des Reglements vom 11. Dezember 2006 über die Kosten und Entschädigungen vor dem Bundesverwaltungsgericht [VGKE, SR 173.320.2]) *******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