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C-4603/2011 vom 20. Februar 2012</w:t>
      </w:r>
    </w:p>
    <w:p>
      <w:r>
        <w:t>Bundesverwaltungsgericht, 2012-02-20, FR</w:t>
      </w:r>
    </w:p>
    <w:p>
      <w:r>
        <w:rPr>
          <w:b/>
        </w:rPr>
        <w:t xml:space="preserve">Quelle: </w:t>
      </w:r>
      <w:r>
        <w:t>https://mcp.opencaselaw.ch/entscheid/bvger_C-4603_2011</w:t>
      </w:r>
    </w:p>
    <w:p>
      <w:r>
        <w:t>FR: TAF C-4603/2011 du 20 février 2012</w:t>
      </w:r>
    </w:p>
    <w:p>
      <w:r>
        <w:t>IT: TAF C-4603/2011 del 20 febbraio 2012</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p. 4).</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Pérou, B._______ est soumise à l'obligation du visa.</w:t>
      </w:r>
    </w:p>
    <w:p>
      <w:r>
        <w:rPr>
          <w:b/>
        </w:rPr>
        <w:t>E. 5.1</w:t>
      </w:r>
    </w:p>
    <w:p>
      <w:r>
        <w:t>Dans la décision querellée, l'ODM a refusé d'autoriser l'entrée en Suisse de la prénommée au motif que son départ à l'échéance du visa sollicité n'apparaissait pas suffisamment assuré.</w:t>
      </w:r>
    </w:p>
    <w:p>
      <w:r>
        <w:rPr>
          <w:b/>
        </w:rPr>
        <w:t>E. 5.2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5.3</w:t>
      </w:r>
    </w:p>
    <w:p>
      <w:r>
        <w:t>In casu, le Tribunal ne saurait d'emblée écarter les craintes émises par l'autorité intimée, notamment au vu de la situation qui prévaut au Pérou sur le plan social et économique. A ce sujet, il faut prendre en considération la qualité de vie et les conditions économiques et sociales difficiles que connaît l'ensemble de la population du Pérou, pays dont le PIB par habitant s'élevait à 9'110 $ en 2010 et où les problèmes sociaux restent importants. Ainsi, même si la pauvreté frappant ce pays s'est réduite ces dernières années, celle-ci demeure néanmoins élevée puisqu'elle touche 34 % de la population péruvienne. De plus, le Pérou doit faire face à de nombreux conflits sociaux qui peuvent prendre des formes violentes entre forces de l'ordre et populations indiennes (source: site internet du Ministère français des affaires étrangères &gt; France-Diplomatie &gt; Pays-zones géo &gt; Pérou &gt; Présentation; consulté en février 2012). Dès lors, les conditions socio-économiques difficiles et la situation sécuritaire précaire prévalant au Pérou ne sont pas sans exercer une pression migratoire importante (à ce sujet, cf. Anibal Sanchez Aguilar, Ces péruviens qui s'en vont, migrations internationales au Pérou, une évaluation, article paru in STATECO N° 101, 2007). Cette tendance migratoire est encore renforcée, comme l'expérience l'a démontré, lorsque la personne concernée peut s'appuyer à l'étranger sur un réseau social (enfants, parents, amis) préexistant, comme cela est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précité consid. 7 et 8 p. 345). Il convient dès lors d'examiner si la situation personnelle, familiale, professionnelle et patrimoniale de l'intéressée plaident en faveur de sa sortie ponctuelle de Suisse, respectivement de l'Espace Schengen, au terme du séjour envisagé.</w:t>
      </w:r>
    </w:p>
    <w:p>
      <w:r>
        <w:rPr>
          <w:b/>
        </w:rPr>
        <w:t>E. 6.1</w:t>
      </w:r>
    </w:p>
    <w:p>
      <w:r>
        <w:t>Dans le cas d'espèce, il apparaît que B._______ est une femme mariée de 71 ans, enseignante à la retraite, mais qui exerce encore diverses activités sur le plan social. Il ressort par ailleurs des pièces versées au dossier qu'elle et son mari sont propriétaires de biens immobiliers et qu'ils disposent en outre d'un capital de plus de 16'000 US dollars, somme non négligeable au regard du niveau de vie moyen au Pérou. Il apparaît donc que la requérante dispose dans son pays d'attaches tant sur le plan familial, social que matériel. Aussi, compte tenu également des informations et des pièces fournies dans le cadre de la présente procédure, le Tribunal est d'avis que le risque que la requérante - qui a toujours vécu dans son pays natal - choisisse, à son âge, de s'exiler dans un environnement qui lui est étranger, paraît plus théorique que réel (cf. arrêt du Tribunal administratif fédéral C-4344/2009 du 19 janvier 2010 consid. 7.2). Au surplus, la prénommée a démontré se trouver en bonne santé, certificat médical à l'appui. Compte tenu de ces éléments, il n'apparaît pas vraisemblable que B._______ puisse envisager de vouloir prolonger son séjour en Suisse pour des motifs économiques.</w:t>
      </w:r>
    </w:p>
    <w:p>
      <w:r>
        <w:rPr>
          <w:b/>
        </w:rPr>
        <w:t>E. 6.2</w:t>
      </w:r>
    </w:p>
    <w:p>
      <w:r>
        <w:t>Il apparaît certes que la requérante a sollicité un visa Schengen auprès de la représentation suisse à Lima, alors que sa fille réside en Espagne et qu'elle a également l'intention de la rencontrer (soit en Suisse, soit en Espagne) lors de sa venue en Europe. Le Tribunal considère à cet égard que le fait que la prénommée, qui entend rendre visite à des proches membres de sa famille établis dans deux Etats de l'Espace Schengen, ait entrepris des démarches dans ce sens auprès des autorités suisses plutôt qu'auprès des autorités espagnoles, n'apparaît, en soi, pas de nature à remettre en cause sa volonté de retourner au Pérou à l'issue de son voyage en Europe.</w:t>
      </w:r>
    </w:p>
    <w:p>
      <w:r>
        <w:rPr>
          <w:b/>
        </w:rPr>
        <w:t>E. 6.3</w:t>
      </w:r>
    </w:p>
    <w:p>
      <w:r>
        <w:t>Le Tribunal relève en outre que la durée - 37 jours - et les motifs de sa venue en Suisse - d'ordre essentiellement familial et touristique - paraissent en adéquation avec sa situation personnelle. Quant à la couverture des frais de séjour en Suisse, elle paraît assurée au vu des garanties financières offertes par les personnes invitantes. De plus, prenant acte des assurances données par l'intéressée, le Tribunal ne décèle aucun indice permettant de mettre en doute la bonne foi de l'invitée et la volonté de ses hôtes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 Par ailleurs, il est manifeste que les autres conditions cumulatives de l'art. 5 LEtr sont remplies, respectivement qu'aucun motif de refus au sens de l'art. 12 al. 2 OEV n'est réalisé.</w:t>
      </w:r>
    </w:p>
    <w:p>
      <w:r>
        <w:rPr>
          <w:b/>
        </w:rPr>
        <w:t>E. 6.4</w:t>
      </w:r>
    </w:p>
    <w:p>
      <w:r>
        <w:t>En conséquence, eu égard aux liens sociaux et familiaux qui rattachent la requérante à son pays, ainsi qu'à sa situation matérielle, le Tribunal est amené à conclure que son retour au Pérou à l'échéance du visa requis peut être tenu, avec un haut degré de probabilité, pour garanti, conformément aux exigences posées par l'art. 5 al. 2 LEtr. Aussi, le TAF estime qu'il serait inopportun de refuser à l'intéressée l'autorisation d'entrée en Suisse, l'intérêt privé de cette dernière à pouvoir rendre visite à sa filleule et à l'époux de celle-ci prévalant sur l'intérêt public contraire à refuser le visa sollicité au vu des garanties apportées quant à une sortie de Suisse dans le délai fixé. 7.Le recours est en conséquence admis, la décision attaquée annulée et la cause renvoyée pour nouvel examen à l'ODM, lequel devra déterminer si B._______ remplit les conditions d'entrée posées par le code frontières Schengen ou s'il convient, cas échéant, de lui octroyer un visa à validité territoriale limitée en application de l'art. 2 al. 4 OEV. Obtenant gain de cause, les recourantes n'ont pas à supporter de frais de procédure (cf. art. 63 al. 1 a contrario et al. 3 PA). Bien qu'elle succombe, l'autorité inférieure n'a pas à supporter de frais de procédure (art. 63 al. 2 PA). Les recourantes ont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