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C-45/2018 vom 22. Juli 2020</w:t>
      </w:r>
    </w:p>
    <w:p>
      <w:r>
        <w:t>Bundesverwaltungsgericht, 2020-07-22, FR</w:t>
      </w:r>
    </w:p>
    <w:p>
      <w:r>
        <w:rPr>
          <w:b/>
        </w:rPr>
        <w:t xml:space="preserve">Quelle: </w:t>
      </w:r>
      <w:r>
        <w:t>https://mcp.opencaselaw.ch/entscheid/bvger_C-45_2018</w:t>
      </w:r>
    </w:p>
    <w:p>
      <w:r>
        <w:t>FR: TAF C-45/2018 du 22 juillet 2020</w:t>
      </w:r>
    </w:p>
    <w:p>
      <w:r>
        <w:t>IT: TAF C-45/2018 del 22 luglio 2020</w:t>
      </w:r>
    </w:p>
    <w:p>
      <w:pPr>
        <w:pStyle w:val="Heading2"/>
      </w:pPr>
      <w:r>
        <w:t>Regeste</w:t>
      </w:r>
    </w:p>
    <w:p>
      <w:r>
        <w:t>Droit à la rente</w:t>
      </w:r>
    </w:p>
    <w:p>
      <w:pPr>
        <w:pStyle w:val="Heading2"/>
      </w:pPr>
      <w:r>
        <w:t>Erwägungen</w:t>
      </w:r>
    </w:p>
    <w:p>
      <w:r>
        <w:rPr>
          <w:b/>
        </w:rPr>
        <w:t>E. 11</w:t>
      </w:r>
    </w:p>
    <w:p>
      <w:r>
        <w:t>En conséquence, le recours doit être rejeté et la décision attaquée du 22 novembre 2017 confirmée.</w:t>
      </w:r>
    </w:p>
    <w:p>
      <w:r>
        <w:rPr>
          <w:b/>
        </w:rPr>
        <w:t>E. 12</w:t>
      </w:r>
    </w:p>
    <w:p>
      <w:r>
        <w:t>La présente procédure est soumise à des frais de justice (art. 69 al. 1bis et 2 LAI), fixés, compte tenu de la charge liée à la procédure, à Fr. 800.-. La partie recourante, qui succombe, en est toutefois dispensée dans la mesure où elle a été mise au bénéfice de l'assistance judiciaire gratuite par décision incidente du Tribunal du 27 février 2018. En outre, vu l'issue du litige, il n'est pas alloué de dépens (art. 64 al. 1 PA, art. 7 al. 1 et 3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