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C-459/2007 vom 4. Oktober 2007</w:t>
      </w:r>
    </w:p>
    <w:p>
      <w:r>
        <w:t>Bundesverwaltungsgericht, 2007-10-04, DE</w:t>
      </w:r>
    </w:p>
    <w:p>
      <w:r>
        <w:rPr>
          <w:b/>
        </w:rPr>
        <w:t xml:space="preserve">Quelle: </w:t>
      </w:r>
      <w:r>
        <w:t>https://mcp.opencaselaw.ch/entscheid/bvger_C-459_2007</w:t>
      </w:r>
    </w:p>
    <w:p>
      <w:r>
        <w:t>FR: TAF C-459/2007 du 4 octobre 2007</w:t>
      </w:r>
    </w:p>
    <w:p>
      <w:r>
        <w:t>IT: TAF C-459/2007 del 4 ottobre 2007</w:t>
      </w:r>
    </w:p>
    <w:p>
      <w:pPr>
        <w:pStyle w:val="Heading2"/>
      </w:pPr>
      <w:r>
        <w:t>Regeste</w:t>
      </w:r>
    </w:p>
    <w:p>
      <w:r>
        <w:t>Invalidenversicherung (Übriges)</w:t>
      </w:r>
    </w:p>
    <w:p>
      <w:pPr>
        <w:pStyle w:val="Heading2"/>
      </w:pPr>
      <w:r>
        <w:t>Erwägungen</w:t>
      </w:r>
    </w:p>
    <w:p>
      <w:r>
        <w:rPr>
          <w:b/>
        </w:rPr>
        <w:t>E. 1</w:t>
      </w:r>
    </w:p>
    <w:p>
      <w:r>
        <w:t>Angefochten ist ein Nichteintretensentscheid des BSV, welchen dieses nach Art. 6 Abs. 3 des Bundesgesetzes über Finanzhilfen für familienergänzende Kinderbetreuung erlassen hat. Anfechtungsgegenstand bildet demnach einzig die Frage, ob das BSV zu Recht nicht auf das Beitragsgesuch vom 5. Oktober 2006 eingetreten ist. Nicht einzutreten ist auf alle Rügen, welche sich auf den rechtskräftigen Nichteintretensentscheid vom 25. Januar 2006 beziehen.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nach Art. 33 Bst. d VGG die Verfügungen des Bundesamtes für Sozialversicherung betreffend Finanzhilfen für familienergänzende Kinderbetreuung (Art. 6 Abs. d des Bundesgesetzes sowie Art. 12 der Verordnung vom 9. Dezember 2002 über Finanzhilfen für familienergänzende Kinderbetreuung [SR 861.1; im Folgenden Verordnung]).</w:t>
      </w:r>
    </w:p>
    <w:p>
      <w:r>
        <w:rPr>
          <w:b/>
        </w:rPr>
        <w:t>E. 1.2</w:t>
      </w:r>
    </w:p>
    <w:p>
      <w:r>
        <w:t>Die Beschwerdeführerin hat am vorinstanzlichen Verfahren teilgenommen (Art. 48 Abs. 1 Bst. a VwVG), sie ist durch die angefochtene Verfügung besonders berührt und hat ein schutzwürdiges Interesse an deren Anfechtung (Art. 48 Abs. 1 Bst. b und c VwVG). Sie ist daher zur Beschwerde legitimiert.</w:t>
      </w:r>
    </w:p>
    <w:p>
      <w:r>
        <w:rPr>
          <w:b/>
        </w:rPr>
        <w:t>E. 1.3</w:t>
      </w:r>
    </w:p>
    <w:p>
      <w:r>
        <w:t>Auf die im Übrigen form- und fristgerecht eingereichte Beschwerde ist daher einzutreten.</w:t>
      </w:r>
    </w:p>
    <w:p>
      <w:r>
        <w:rPr>
          <w:b/>
        </w:rPr>
        <w:t>E. 2</w:t>
      </w:r>
    </w:p>
    <w:p>
      <w:r>
        <w:t>Nach Art. 1 Abs. 1 des Bundesgesetzes über Finanzhilfen für familienergänzende Kinderbetreuung richtet der Bund im Rahmen der bewilligten Kredite (vgl. Art. 4) Finanzhilfen zur Schaffung von familienergänzenden Betreuungsplätzen für Kinder aus, damit die Eltern Familie und Arbeit oder Ausbildung besser vereinbaren können. Voraussetzung des Bundesbeitrags bildet eine angemessene Beteiligung der Kantone, der öffentlichrechtlichen Gebietskörperschaften, der Arbeitgeber oder anderer Dritter (Art. 1 Abs. 2). Die Empfänger und die Voraussetzungen der Finanzhilfen werden in Art. 2 und 3 des Bundesgesetzes geregelt. Diese im 2. Abschnitt: Finanzhilfen geregelten Voraussetzungen der Finanzhilfen für familienergänzende Kinderbetreuung bilden vorliegend nicht Gegenstand des angefochtenen Nichteintretensentscheids. Angesprochen wurden im Rahmen des Nichteintretensentscheids einzig die Ziele dieser Finanzhilfen.</w:t>
      </w:r>
    </w:p>
    <w:p>
      <w:r>
        <w:rPr>
          <w:b/>
        </w:rPr>
        <w:t>E. 3.1</w:t>
      </w:r>
    </w:p>
    <w:p>
      <w:r>
        <w:t>Nach Art. 6 Abs. 2 des Bundesgesetzes über Finanzhilfen für familienergänzende Kinderbetreuung sind Gesuche um Finanzhilfen an Kindertagesstätten und Einrichtungen für die schulergänzende Betreuung vor der Betriebsaufnahme der Institution oder vor der Erhöhung des Angebots einzureichen.</w:t>
      </w:r>
    </w:p>
    <w:p>
      <w:r>
        <w:rPr>
          <w:b/>
        </w:rPr>
        <w:t>E. 3.2</w:t>
      </w:r>
    </w:p>
    <w:p>
      <w:r>
        <w:t>Die Regelung von Art. 6 Abs. 2 des Bundesgesetzes entspricht jener von Art. 26 des Bundesgesetzes vom 5. Oktober 1990 über Finanzhilfen und Abgeltungen (Subventionsgesetz, SuG; SR 616.1). Nach dieser Bestimmung betreffend den Baubeginn und Anschaffungen darf der Gesuchsteller erst mit dem Bau beginnen oder grössere Anschaffungen tätigen, wenn ihm die Finanzhilfe oder Abgeltung endgültig oder dem Grundsatz nach zugesichert worden ist oder wenn ihm die zuständige Behörde dafür die Bewilligung erteilt hat (Abs. 1). Die zuständige Behörde kann zwar die Bewilligung erteilen, wenn es mit schwerwiegenden Nachteilen verbunden wäre, das Ergebnis der Prüfung der Gesuchsunterlagen abzuwarten; eine solche Bewilligung gibt indes keinen Anspruch auf die Finanzhilfe oder Abgeltung (Abs. 2). Beginnt der Gesuchsteller ohne Bewilligung mit dem Bau oder tätigt er Anschaffungen, so werden ihm keine Leistungen gewährt. Bei Abgeltungen kann ihm die zuständige Behörde jedoch eine Leistung gewähren, wenn es die Umstände rechtfertigen (Abs. 3).</w:t>
      </w:r>
    </w:p>
    <w:p>
      <w:r>
        <w:rPr>
          <w:b/>
        </w:rPr>
        <w:t>E. 3.3</w:t>
      </w:r>
    </w:p>
    <w:p>
      <w:r>
        <w:t>Art. 10 Abs. 2 der Verordnung präzisiert Art. 6 Abs. 2 des Bundesgesetzes über Finanzhilfen für familienergänzende Kinderbetreuung im Sinne von Art. 26 SuG. Vorerst wird bestätigt, dass die vollständigen Beitragsgesuche spätestens 12 Wochen vor der Betriebsaufnahme der Institution, vor der Erhöhung des Angebots oder vor Durchführung der entsprechenden Massnahme beim BSV einzureichen sind. Dazu wird noch ergänzt, dass in begründeten Ausnahmefällen ein Gesuch später eingereicht werden kann, sofern vor Ablauf der normalen Einreichefrist eine entsprechende Anfrage mit Begründung eingereicht wird. An der Bundesrechtskonformität von Art. 6 Abs. 2 des Bundesgesetzes bestehen daher keine Zweifel.</w:t>
      </w:r>
    </w:p>
    <w:p>
      <w:r>
        <w:rPr>
          <w:b/>
        </w:rPr>
        <w:t>E. 3.4</w:t>
      </w:r>
    </w:p>
    <w:p>
      <w:r>
        <w:t>Vorliegend steht fest, dass die Schule Herrliberg keine begründete Anfrage im Sinne von Art. 10 Abs. 2 der Verordnung stellte und dass das Beitragsgesuch vom 5. Oktober 2006 erst nach der am 21. August 2006 erfolgten Angebotserweiterung eingereicht wurde.</w:t>
      </w:r>
    </w:p>
    <w:p>
      <w:r>
        <w:rPr>
          <w:b/>
        </w:rPr>
        <w:t>E. 3.5</w:t>
      </w:r>
    </w:p>
    <w:p>
      <w:r>
        <w:t>Die Schule Herrliberg macht geltend, dass für die Berechnung der Eingabefrist von 12 Wochen erst eine definitive Betriebsaufnahme bzw. eine definitive Erhöhung des Angebots massgeblich seien. Ein früherer Testbetrieb sei insoweit irrelevant. Für eine solche Auslegung von Art. 6 Abs. 2 des Bundesgesetzes und Art. 10 Abs. 2 der Verordnung bestehen indes keine Anhaltspunkte. Die von der Schule Herrliberg vertretene Auslegung stellte - wie das BSV zutreffend feststellt - den für die Beurteilung der Rechtzeitigkeit des Beitragsgesuch massgeblichen Zeitpunkt ins Ermessen der Gesuchsteller und enthöbe die in Übereinstimmung mit Art. 26 SuG erlassene Regelung von Art. 6 Abs. 2 des Bundesgesetzes und Art. 10 Abs. 2 der Verordnung Zeitpunkts ihres Inhalts. Art. 6 Abs. 2 des Bundesgesetzes und Art. 10 Abs. 2 der Verordnung bezwecken, dass die Bundesbeiträge Anreiz zur Schaffung zusätzlicher Betreuungsplätze bilden. Es soll nicht bloss die Schaffung von Plätzen für die familienergänzende Kinderbetreuung belohnt werden.</w:t>
      </w:r>
    </w:p>
    <w:p>
      <w:r>
        <w:rPr>
          <w:b/>
        </w:rPr>
        <w:t>E. 4</w:t>
      </w:r>
    </w:p>
    <w:p>
      <w:r>
        <w:t>Nach Art. 6 Abs. 3 des Bundesgesetzes entscheidet das BSV nach Anhörung der zuständigen Behörde des Kantons. Vorliegend hat eine solche Anhörung nicht stattgefunden. Dies ist auch nicht zu beanstanden, da die Anhörung nur im Rahmen eines materiellen Entscheids Sinn macht. Dies zeigt auch die Regelung von Art. 11 Abs. 1 der Verordnung. Demnach übermittelt das BSV das Beitragsgesuch der zuständigen Behörde jenes Kantons zur Stellungnahme, in dem die Betreuung angeboten oder die Massnahme durchgeführt werden soll. Die kantonale Behörde hat sich insbesondere dazu zu äussern: wie der Kanton das entsprechende Vorhaben grundsätzlich beurteilt (Bst. a); ob aus der Sicht des Kantons das entsprechende Vorhaben einem Bedürfnis entspricht (Bst. b); ob aus Sicht des Kantons die Qualitätsanforderungen erfüllt sind (Bst. c); ob eine allenfalls notwendige Bewilligung im Sinne der Verordnung vom 19. Oktober 1977 über die Aufnahme von Pflegekindern (SR 211.222.338) voraussichtlich erteilt werden wird (Bst. d) und wie der Kanton das Finanzierungskonzept hinsichtlich eines langfristigen Bestehens der Institution beurteilt (Bst. e). Diese Beurteilungskriterien sind alle materieller Natur. Vorliegend ist im Übrigen auch kein Grund ersichtlich, weshalb das BSV zur Eintretensfrage eine Anhörung hätte durchführen müssen. Dazu kommt, dass die Schule Herrliberg selbst eine öffentlichrechtliche Körperschaft darstellt und keine Hinweise darauf bestehen, dass sich der Kanton oder andere übergeordnete Gebietskörperschaften in relevanter Weise zur Eintretensfrage hätten äussern können.</w:t>
      </w:r>
    </w:p>
    <w:p>
      <w:r>
        <w:rPr>
          <w:b/>
        </w:rPr>
        <w:t>E. 5</w:t>
      </w:r>
    </w:p>
    <w:p>
      <w:r>
        <w:t>Die Rüge der Verletzung von Treu und Glauben ist vorliegend offensichtlich unberechtigt, da der Schule Herrliberg aufgrund des ihr bekannten früheren Nichteintretensentscheids bekannt sein musste, dass für die Berechnung der Eingabefrist die tatsächliche Aufnahme des Betriebs massgeblich ist. Dies gilt gemäss ausdrücklicher gesetzlicher Regelung auch für Gesuche betreffend die Erhöhung des Betreuungsangebots. Auskünfte, die vor einem förmlichen gegenteiligen Entscheid erfolgten kann keine vertrauensbildende Wirkung zukommen. Ob die geltend gemachte falsche Auskunft tatsächlich erteilt wurde, kann daher offen bleiben.</w:t>
      </w:r>
    </w:p>
    <w:p>
      <w:r>
        <w:rPr>
          <w:b/>
        </w:rPr>
        <w:t>E. 6</w:t>
      </w:r>
    </w:p>
    <w:p>
      <w:r>
        <w:t>Die Beschwerde erweist sich daher als unberechtigt und ist demzufolge abzuweisen (vgl. BGE 101 Ib 308). Als unterliegende Partei hat die Schule Herrliberg die Verfahrenskosten zu tragen (Art. 63 Abs. 1 VwVG). Diese werden auf Fr. 1'000.- festgesetzt und mit dem geleisteten Kostenvorschuss in gleicher Höhe verrechnet. Parteientschädigungen sind nicht zu sprechen (Art. 64 Abs. 1 VwVG und Art. 7 des Reglements vom 11. Dezember 2006 über die Kosten und Entschädigungen vor dem Bundesverwaltungsgericht (VGKE, SR 173.320.2).</w:t>
      </w:r>
    </w:p>
    <w:p>
      <w:r>
        <w:rPr>
          <w:b/>
        </w:rPr>
        <w:t>E. 7</w:t>
      </w:r>
    </w:p>
    <w:p>
      <w:r>
        <w:t>Der vorliegende Entscheid ist endgültig (Art. 83 Bst. k des Bundesgerichtsgesetzes vom 17. Juni 2005 [BGG], SR 173.110; vgl. Urteil des Bundesgerichts 2A.95/2004 vom 18. Februar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