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C-4599/2007 vom 27. April 2009</w:t>
      </w:r>
    </w:p>
    <w:p>
      <w:r>
        <w:t>Bundesverwaltungsgericht, 2009-04-27, FR</w:t>
      </w:r>
    </w:p>
    <w:p>
      <w:r>
        <w:rPr>
          <w:b/>
        </w:rPr>
        <w:t xml:space="preserve">Quelle: </w:t>
      </w:r>
      <w:r>
        <w:t>https://mcp.opencaselaw.ch/entscheid/bvger_C-4599_2007</w:t>
      </w:r>
    </w:p>
    <w:p>
      <w:r>
        <w:t>FR: TAF C-4599/2007 du 27 avril 2009</w:t>
      </w:r>
    </w:p>
    <w:p>
      <w:r>
        <w:t>IT: TAF C-4599/2007 del 27 aprile 2009</w:t>
      </w:r>
    </w:p>
    <w:p>
      <w:pPr>
        <w:pStyle w:val="Heading2"/>
      </w:pPr>
      <w:r>
        <w:t>Regeste</w:t>
      </w:r>
    </w:p>
    <w:p>
      <w:r>
        <w:t>Evaluation de l'invalidité</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l'assurance-invalidité peuvent être contestées devant le Tribunal administratif fédéral conformément à l'art. 69 al. 1 let. b de la loi fédérale du 19 juin 1959 sur l'assurance-invalidité (LAI, RS 831.20), celui-là étant dès lors compétent pour connaître de la présente cause.</w:t>
      </w:r>
    </w:p>
    <w:p>
      <w:r>
        <w:rPr>
          <w:b/>
        </w:rPr>
        <w:t>E. 1.2</w:t>
      </w:r>
    </w:p>
    <w:p>
      <w:r>
        <w:t>En vertu de l'art. 3 let. dbis PA la procédure en matière d'assurances sociales n'est pas régie par la PA dans la mesure où la loi fédérale du 6 octobre 2000 sur la partie générale du droit des assurances sociales (LPGA, RS 830.1) est applicable.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Le recourant remplit manifestement ces conditions.</w:t>
      </w:r>
    </w:p>
    <w:p>
      <w:r>
        <w:rPr>
          <w:b/>
        </w:rPr>
        <w:t>E. 1.4</w:t>
      </w:r>
    </w:p>
    <w:p>
      <w:r>
        <w:t>Déposé en temps utile et dans les formes requises par la loi (art. 60 LPGA et 52 PA), le recours est recevable.</w:t>
      </w:r>
    </w:p>
    <w:p>
      <w:r>
        <w:rPr>
          <w:b/>
        </w:rPr>
        <w:t>E. 2.1</w:t>
      </w:r>
    </w:p>
    <w:p>
      <w:r>
        <w:t>Selon l'art. 2 LPGA, les dispositions de ladite loi sont applicables aux assurances sociales régies par la législation fédérale si et dans la mesure où les lois spéciales sur les assurances sociales le prévoient.</w:t>
      </w:r>
    </w:p>
    <w:p>
      <w:r>
        <w:rPr>
          <w:b/>
        </w:rPr>
        <w:t>E. 2.2</w:t>
      </w:r>
    </w:p>
    <w:p>
      <w:r>
        <w:t>L'examen du droit à des prestations selon la LAI est régi par la teneur de cette loi au moment de la décision entreprise eu égard au principe selon lequel les règles applicables sont celles en vigueur au moment où les faits juridiquement déterminants se sont produits (ATF 130 V 445 et réf. cit.). Les dispositions de la 5ème révision de la LAI et les modifications de la LPGA, toutes entrées en vigueur le 1er janvier 2008, ne sont dès lors pas applicables en l'espèce.</w:t>
      </w:r>
    </w:p>
    <w:p>
      <w:r>
        <w:rPr>
          <w:b/>
        </w:rPr>
        <w:t>E. 3.1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l'ALCP,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3.2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3.3</w:t>
      </w:r>
    </w:p>
    <w:p>
      <w:r>
        <w:t>Par ailleurs, de jurisprudence constante, l'octroi d'une rente étrangère d'invalidité ne préjuge pas l'appréciation de l'invalidité selon la loi suisse (arrêt du Tribunal fédéral des assurance I 435/02 du 4 février 2003 consid. 2 ; Revue à l'intention des caisses de compensation [RCC] 1989 p. 330). Même après l'entrée en vigueur de l'ALCP, le degré d'invalidité d'un assuré qui prétend une rente de l'assurance-invalidité suisse est déterminé exclusivement d'après le droit suisse (ATF 130 V 257 consid. 2.4).</w:t>
      </w:r>
    </w:p>
    <w:p>
      <w:r>
        <w:rPr>
          <w:b/>
        </w:rPr>
        <w:t>E. 4</w:t>
      </w:r>
    </w:p>
    <w:p>
      <w:r>
        <w:t>Le recourant a présenté sa demande de rente le 3 février 2006. En dérogation à l'art. 24 LPGA, l'art. 48 al. 2 LAI prévoit que si l'assuré présente sa demande de rente plus de douze mois après la naissance du droit, les prestations ne sont allouées que pour les douze mois précédant le dépôt de la demande. Concrètement, le Tribunal de céans peut se limiter à examiner si le recourant avait droit à une rente le 3 février 2005 (12 mois avant le dépôt de la demande) ou si le droit à une rente était né entre cette date et le 30 mai 2007, date de la décision attaquée marquant la limite dans le temps du pouvoir d'examen de l'autorité de recours (ATF 130 V 445 consid. 1.2 et 1.2.1).</w:t>
      </w:r>
    </w:p>
    <w:p>
      <w:r>
        <w:rPr>
          <w:b/>
        </w:rPr>
        <w:t>E. 5.1</w:t>
      </w:r>
    </w:p>
    <w:p>
      <w:r>
        <w:t>En l'occurrence, le recourant a versé des cotisations à l'AVS/AI pendant plus d'une année au total et remplit, partant, la condition de la durée minimale de cotisations. Il reste dès lors à examiner si l'intéressé est invalide au sens de la LAI.</w:t>
      </w:r>
    </w:p>
    <w:p>
      <w:r>
        <w:rPr>
          <w:b/>
        </w:rPr>
        <w:t>E. 6.1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6.2</w:t>
      </w:r>
    </w:p>
    <w:p>
      <w:r>
        <w:t>Aux termes de l'art. 28 al. 1 LAI,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28 al. 1ter LAI). Depuis l'entrée en vigueur de l'ALCP, les ressortissants d'un Etat membre de la Communauté européenne qui présentent un degré d'invalidité de 40% au moins, ont droit à un quart de rente en application de l'art. 28 al. 1 LAI s'ils ont leur domicile et leur résidence habituelle sur le sol d'un Etat membre.</w:t>
      </w:r>
    </w:p>
    <w:p>
      <w:r>
        <w:rPr>
          <w:b/>
        </w:rPr>
        <w:t>E. 7.1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 de lui après les traitements et les mesures de réadaptation sur un marché du travail équilibré (art. 16 LPGA).</w:t>
      </w:r>
    </w:p>
    <w:p>
      <w:r>
        <w:rPr>
          <w:b/>
        </w:rPr>
        <w:t>E. 7.2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 RCC 1991 p. 329 consid. 1c).</w:t>
      </w:r>
    </w:p>
    <w:p>
      <w:r>
        <w:rPr>
          <w:b/>
        </w:rPr>
        <w:t>E. 7.3</w:t>
      </w:r>
    </w:p>
    <w:p>
      <w:r>
        <w:t>L'art. 69 du règlement du 17 janvier 1961 sur l'assurance-invalidité (RAI, RS 831.201)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8</w:t>
      </w:r>
    </w:p>
    <w:p>
      <w:r>
        <w:t>Le recourant a pu travailler en tant que maçon au service d'une entreprise de construction en Espagne du 17 avril 2002 au 30 juillet 2004. Du questionnaire rempli par l'employeur il ressort que jusqu'à cette dernière date le recourant a pu travailler à 100% selon un horaire normal pour un salaire mensuel de 1'105.65 Euro et il n'est pas fait mention d'un arrêt de travail prolongé qui aurait précédé la fin de leurs rapports de service. Dès lors, jusqu'au 30 juillet 2004 il ne saurait y avoir d'invalidité au sens de la loi. Pour la période successive, le Tribunal administratif fédéral observe qu'à la lecture des pièces du dossier, il apparaît que le recourant n'a plus exercé d'activité lucrative et il faut donc se fonder sur la documentation médicale pour déterminer son éventuelle incapacité de travail. En l'occurrence, il a été diagnostiqué tant par le médecin de la sécurité sociale espagnole dans son rapport E 213 que par le médecin du Service médical de l'OAIE que l'intéressé souffrait principalement d'une hépatite alcoolique avec cirrhose. Par voie de conséquence, eu égard au fait qu'il ne s'agit pas là d'un état de santé stabilisé, l'art. 29 al. 1 let. a LAI est inapplicable ; seule peut entrer en considération l'art. 29 al. 1 let. b LAI, prévoyant en principe une période d'attente d'une année à partir du début de l'incapacité de travail relevante pour la détermination du début du droit à la rente.</w:t>
      </w:r>
    </w:p>
    <w:p>
      <w:r>
        <w:rPr>
          <w:b/>
        </w:rPr>
        <w:t>E. 9</w:t>
      </w:r>
    </w:p>
    <w:p>
      <w:r>
        <w:t>Dans la décision entreprise et les diverses écritures échangées au cours de la procédure de recours, l'OAIE a estimé que A._______ ne présentait pas une incapacité de travail suffisante pour ouvrir le droit à une rente, dans la mesure où l'incapacité de gain qui en résultait ne dépassait pas 40%. Le recourant avance, implicitement du moins, ne plus pouvoir travailler et estime donc avoir droit à une rente d'invalidité.</w:t>
      </w:r>
    </w:p>
    <w:p>
      <w:r>
        <w:rPr>
          <w:b/>
        </w:rPr>
        <w:t>E. 9.1</w:t>
      </w:r>
    </w:p>
    <w:p>
      <w:r>
        <w:t>Dans son rapport médical E 213 du 18 avril 2006 (pce OAIE 19), le Dr C._______ a indiqué que l'assuré présentait une cirrhose hépatique alcoolique qui avait nécessité une hospitalisation en août 2004 avec ponction d'une ascite, que les derniers bilans sanguins ne montraient pas d'évolution notable et que l'intéressé ne pouvait plus, en raison de l'atteinte à son état de santé, exercer son activité habituelle de maçon. En regard des limitations fonctionnelles de A._______ et de son état de santé, le médecin de la sécurité sociale espagnole a néanmoins estimé qu'on pouvait exiger qu'il accomplisse, à temps complet, un travail adapté évitant les environnements difficiles ou toxiques et des efforts physiques lourds, notamment les ports de charges. Dans ses appréciations des 3 février 2007 et 24 mai 2007 (pce OAIE 24 et 29), le Dr D._______ du Service médical de l'OAIE a confirmé le diagnostic de cirrhose hépatique décompensée en 2004 et a relevé que l'atteinte était actuellement stable. Selon ce praticien, seule l'hépatite, l'ascite et l'hypertension portale - à l'exclusion des autres atteintes diagnostiquées (éthylisme chronique et infection urinaire) - seraient propres à induire une incapacité de travail. En conclusion, le médecin de l'OAIE a rejoint en partie l'appréciation du Dr C._______ et a retenu une incapacité de 70% dans l'activité habituellement exercée et une pleine capacité dans une activité de substitution adaptée. Lors de l'exercice de son droit d'être entendu devant l'OAIE, dans son mémoire de recours et dans sa réplique, le recourant a renvoyé pour l'essentiel au diagnostic émis par le Service de médecine interne A de l'Hôpital Canalejo (pce OAIE 14) et aux résultats du 13 octobre 2004 de la biopsie hépatique (pce OAIE 15) en relevant que l'ensemble des atteintes dont il souffrait l'empêchaient de travailler.</w:t>
      </w:r>
    </w:p>
    <w:p>
      <w:r>
        <w:rPr>
          <w:b/>
        </w:rPr>
        <w:t>E. 9.2</w:t>
      </w:r>
    </w:p>
    <w:p>
      <w:r>
        <w:t>Force est de constater que le recourant présente une incapacité de travail d'au moins 70% dans l'activité qu'il a exercée en dernier lieu, et ce depuis la décompensation de son hépatite au début du mois d'août 2004. Toutefois, l'autorité de céans ne voit pas en quoi A._______ serait empêché d'accomplir une activité adaptée à sa condition, comme par exemple surveillant de parking ou de musée, vendeur, caissier ou commissionnaire (pce OAIE 24 p. 3). En effet, ainsi que l'ont relevé tant le Dr D._______ du Service médical de l'OAIE que le Dr C._______ de la sécurité sociale espagnole, les atteintes hépatiques dont souffre A._______ n'occasionnent pas de limitation fonctionnelle en relation avec de tels travaux. En outre, il ressort des pièces du dossier que depuis son hospitalisation en 2004, l'assuré n'a plus connu de crise ascitique et que son bilan sanguin n'a pas démontré d'aggravation notable de l'atteinte au foie dont la fonction apparaît comme étant, autant que faire se peut, conservée. Le recourant n'a par ailleurs pas allégué de péjoration notable de son hépatite. A cet égard, il est symptomatique de relever que A._______ ne renvoie qu'à des documents médicaux datant de 2004. De plus, comme l'a observé le Dr D._______, ni l'infection urinaire dont le recourant souffrait en août 2004 ni son éthylisme chronique n'ont d'influence sur sa capacité de travail en ce qui concerne la période d'examen définie ci-dessus (cf. supra consid. 4). Ainsi, les seules limitations fonctionnelles sont celles liées à la cirrhose hépatique alcoolique et qui ont été décrites par le Dr C._______ et confirmées, implicitement, par le Dr D._______. Au vu des tâches qu'implique le travail dans les activités de substitution proposées par le médecin de l'OAIE, on peut retenir qu'il s'agit certainement d'activités adaptées à la condition du recourant. Le Tribunal administratif fédéral peut donc conclure que le recourant dispose d'une capacité de travail largement limitée dans son activité précédente et, d'une manière générale, d'une pleine capacité de travail dans des activités de substitution adaptées.</w:t>
      </w:r>
    </w:p>
    <w:p>
      <w:r>
        <w:rPr>
          <w:b/>
        </w:rPr>
        <w:t>E. 10</w:t>
      </w:r>
    </w:p>
    <w:p>
      <w:r>
        <w:t>L'invalidité - dont il convient de rappeler qu'il s'agit d'une notion économique et non pas médicale - est évaluée en comparant le revenu que l'intéressé pourrait obtenir en exerçant une activité qu'on peut raisonnablement attendre avec le revenu qu'il aurait eu s'il n'était pas devenu invalide (art. 16 LPGA). Le revenu de la personne valide se détermine en établissant au degré de la vraisemblance prépondérante ce qu'elle aurait effectivement réalisé au moment déterminant si elle était en bonne santé (ATF 129 V 224 consid. 4.3.1). A ce titre, il convient en général de se référer au dernier salaire que l'assuré a obtenu avant l'atteinte à la santé. En l'absence d'un revenu effectivement réalisé après la survenance de l'atteinte à la santé, le Tribunal fédéral admet pour le calcul de l'invalidité le recours aux données statistiques suisses telles qu'elles ressortent de l'Enquête sur la structure des salaires (ESS) publiée par l'Office fédéral de la statistique (ATF 126 V 76 consid. 3b/aa et bb). En l'occurrence, le recourant n'a ni présenté de chiffre concernant un éventuel salaire qu'il réaliserait dans une activité adaptée à son handicap ni même allégué avoir une telle activité. Dès lors, le fait de se référer à l'ESS pour déterminer le revenu résultant d'une activité qu'on peut raisonnablement attendre du recourant en considération de son état de santé n'est pas critiquable. Dans ce contexte, il convient également de se fonder sur l'ESS pour établir le revenu de l'intéressé sans invalidité. En effet, en ce qui concerne l'évaluation de l'invalidité qui s'effectue en comparant le revenu d'invalide à celui sans invalidité, il importe que les deux termes de la comparaison soient effectivement commensurables et qu'ils se rapportent donc à un même marché du travail et soient issus d'une même base (Droit des assurances sociales - Jurisprudence [SVR] 2008 IV n° 59).</w:t>
      </w:r>
    </w:p>
    <w:p>
      <w:r>
        <w:rPr>
          <w:b/>
        </w:rPr>
        <w:t>E. 10.1</w:t>
      </w:r>
    </w:p>
    <w:p>
      <w:r>
        <w:t>En l'espèce il convient de procéder à une évaluation de l'invalidité selon la méthode générale par une comparaison de revenus entre le salaire théorique que l'assuré aurait pu gagné en Suisse comme maçon-coffreur (niveau de qualification 3) avec un revenu théorique selon les activités de substitution proposées par le Service médical de l'OAIE. Vu les circonstances, il s'agit de comparer les revenus en fonction de ce qu'ils étaient, ou auraient pu être, en 2005, douze mois après l'apparition des atteintes causant l'incapacité (art. 29 al. 1 let. b LAI; ATF 129 V 222, 128 V 174), et non en 2004 ainsi que l'a fait l'autorité intimée.</w:t>
      </w:r>
    </w:p>
    <w:p>
      <w:r>
        <w:rPr>
          <w:b/>
        </w:rPr>
        <w:t>E. 10.1.1</w:t>
      </w:r>
    </w:p>
    <w:p>
      <w:r>
        <w:t>En se référant au Tableau TA1 relatif aux salaires bruts standardisés de l'ESS 2004 de l'Office fédéral de la statistique, valeur dans le domaine de la construction, pour un homme avec des connaissances professionnelles spécialisées (niveau de qualification 3), on retient pour le recourant un revenu statistique mensuel moyen de CHF 5'358.--. Après adaptation à l'augmentation des salaires dans le domaine de la construction en 2005 par rapport à 2004, à savoir 1.1% (La Vie économique 12-2008, B 10.2), et au nombre d'heures de travail hebdomadaires effectuées en 2005 en moyenne dans le secteur de la construction, à savoir 41.7 heures (La Vie économique 12-2008, B 9.2), par rapport aux 40 heures standardisées de l'ESS, on obtient un revenu sans invalidité de Fr 5'647.--.</w:t>
      </w:r>
    </w:p>
    <w:p>
      <w:r>
        <w:rPr>
          <w:b/>
        </w:rPr>
        <w:t>E. 10.1.2</w:t>
      </w:r>
    </w:p>
    <w:p>
      <w:r>
        <w:t>Les activités de substitution proposées par le Dr D._______ du service médical de l'OAIE, exigibles à plein temps, sont des activités légères comparables à des activités simples et répétitives, de niveau de qualification 4, dans le domaine des services collectifs et personnels (revenu mensuel selon l'ESS 2004 : CHF 4'181.--) du commerce de détail (CHF 4'280.--) ou des services fournies aux entreprises (CHF 4'333.--). La moyenne de ces revenus - augmentés respectivement de 0.6%, de 1.2% et de 0.9% en fonction de la variation des salaires dans ces domaines entre 2004 et 2005 (La Vie économique 12-208, B 10.2) et adaptés au nombre d'heures hebdomadaires effectuées en moyenne en 2005 (41.6, 41.9 et 41.8 heures par semaine respectivement; La Vie économique 12-2008, B 9.2) - correspond à CHF 4'493.--. Compte tenu de l'âge de l'assuré au jour de la décision querellée (40 ans) et de son handicap, il ne convient pas d'appliquer de taux de réduction du salaire d'invalide. Un abaissement de 25% pour raison d'âge et de handicap est l'abaissement maximal admis par la jurisprudence (ATF 126 V 728 consid. 5), or rien au dossier ne permet d'inférer qu'un abaissement s'impose car, dans des activités de substitution adaptées, le recourant qui est dans la force de l'âge, est réputé avoir une capacité de travail entière et ne subirait notamment aucune réduction pour travail à temps partiel.</w:t>
      </w:r>
    </w:p>
    <w:p>
      <w:r>
        <w:rPr>
          <w:b/>
        </w:rPr>
        <w:t>E. 10.2</w:t>
      </w:r>
    </w:p>
    <w:p>
      <w:r>
        <w:t>La comparaison du revenu sans invalidité de CHF 5'647.-- au revenu d'invalide de CHF 4'493.-- fait apparaître un préjudice économique de 20% (20.44%). Le taux d'invalidité du recourant n'atteint donc pas les 40% nécessaires pour obtenir le droit à une rente.</w:t>
      </w:r>
    </w:p>
    <w:p>
      <w:r>
        <w:rPr>
          <w:b/>
        </w:rPr>
        <w:t>E. 10.3</w:t>
      </w:r>
    </w:p>
    <w:p>
      <w:r>
        <w:t>Dans ce cadre, il est utile de relever que, selon un principe générale valable en assurances sociales, l'assuré a l'obligation de diminuer le dommage et doit entreprendre de son propre chef tout ce qu'on peut raisonnablement attendre de lui afin d'atténuer autant que possible les conséquences de son invalidité (ATF 123 V 96 consid. 4c, 115 V 53, 114 V 285 consid. 3, 11 V 239 consid. 2a; Ulrich Meyer-Blaser, Zum Verhältnismässigkeitsgrundsatz im staatlichen Leistungsrecht, thèse, Berne 1985, p. 131). Dans ce contexte il convient de souligner que ni l'âge, ni la situation familiale ou économique, en particulier un marché de l'emploi local restreint, un arrêt prolongé de l'activité professionnelle ne constituent un critère relevant pour l'octroi d'une rente d'invalidité. Ces circonstances bien que pouvant compromettre la reprise d'une activité ne peuvent être prises en considération dans l'évaluation de l'invalidité (arrêt du Tribunal fédéral I 175/04 du 28 janvier 2005 consid. 3 ; Jurisprudence et pratique administrative des autorités d'exécution de l'AVS/AI (VSI) 1999 p. 247 consid. 1, 1998 p. 296 consid. 3b).</w:t>
      </w:r>
    </w:p>
    <w:p>
      <w:r>
        <w:rPr>
          <w:b/>
        </w:rPr>
        <w:t>E. 11</w:t>
      </w:r>
    </w:p>
    <w:p>
      <w:r>
        <w:t>Le recours est par conséquent rejeté et la décision entreprise confirmée dans son résultat.</w:t>
      </w:r>
    </w:p>
    <w:p>
      <w:r>
        <w:rPr>
          <w:b/>
        </w:rPr>
        <w:t>E. 12</w:t>
      </w:r>
    </w:p>
    <w:p>
      <w:r>
        <w:t>Les frais de procédure, fixés à CHF 300.--, sont mis à la charge du recourant (art. 69 al. 1bis LAI et art. 63 al. 1 PA, applicable par renvoi de l'art. 37 LTAF). Ils sont compensés par l'avance de frais dont il s'est acquitté au cours de l'instruction. Vu l'issue du litige, il n'est pas alloué d'indemnité de dépens (art. 7 al.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