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C-4595/2009 vom 17. Februar 2011</w:t>
      </w:r>
    </w:p>
    <w:p>
      <w:r>
        <w:t>Bundesverwaltungsgericht, 2011-02-17, FR</w:t>
      </w:r>
    </w:p>
    <w:p>
      <w:r>
        <w:rPr>
          <w:b/>
        </w:rPr>
        <w:t xml:space="preserve">Quelle: </w:t>
      </w:r>
      <w:r>
        <w:t>https://mcp.opencaselaw.ch/entscheid/bvger_C-4595_2009</w:t>
      </w:r>
    </w:p>
    <w:p>
      <w:r>
        <w:t>FR: TAF C-4595/2009 du 17 février 2011</w:t>
      </w:r>
    </w:p>
    <w:p>
      <w:r>
        <w:t>IT: TAF C-4595/2009 del 17 febbraio 2011</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des frais de procédure ayant été versée dans le délai,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3</w:t>
      </w:r>
    </w:p>
    <w:p>
      <w:r>
        <w:t>Selon l'art. 36 al. 2 LAI, les dispositions de la loi fédérale du 20 décembre 1946 sur l'assurance-vieillesse et survivants (LAVS, RS 831.10) sont applicables par analogie au calcul des rentes ordinaires. Par arrêt du 17 octobre 2008 entré en force, le Tribunal de céans a reconnu à l'intéressé le droit à un quart de rente d'invalidité à compter du 1er octobre 2005 et a établi la date de la survenance du cas d'assurance en 2004 en application de l'art. 29 al. 1 let. b LAI dans sa teneur jusqu'au 31 décembre 2007 (délai d'attente d'une année à compter du début de l'incapacité de travail). Il s'ensuit que les bases de calcul déterminantes de la LAVS sont celles de décembre 2005 suivies des adaptations du montant de la rente aux 1er janvier 2007 et 2009.</w:t>
      </w:r>
    </w:p>
    <w:p>
      <w:r>
        <w:rPr>
          <w:b/>
        </w:rPr>
        <w:t>E. 4.1</w:t>
      </w:r>
    </w:p>
    <w:p>
      <w:r>
        <w:t>Dans son recours, A._______ remet en cause le montant de la rente mais aussi implicitement son degré d'invalidité.</w:t>
      </w:r>
    </w:p>
    <w:p>
      <w:r>
        <w:rPr>
          <w:b/>
        </w:rPr>
        <w:t>E. 4.2</w:t>
      </w:r>
    </w:p>
    <w:p>
      <w:r>
        <w:t>Le Tribunal de céans constate que le degré d'invalidité a été fixé par jugement du 17 octobre 2008 duquel il ressortait que le recourant subissait un préjudice économique de 42.48 %, taux ouvrant droit à une prestation de l'assurance-invalidité suisse, respectivement à un quart de rente et ce à compter du 1er octobre 2005. Dès lors que le recourant n'a pas interjeté recours contre ce jugement, seules peuvent être contestées les bases de calcul de la rente telles que retenues dans la décision du 29 mai 2009 (cf. arrêt du Tribunal fédéral 9C 711/2009 du 26 février 2010).</w:t>
      </w:r>
    </w:p>
    <w:p>
      <w:r>
        <w:rPr>
          <w:b/>
        </w:rPr>
        <w:t>E. 4.3</w:t>
      </w:r>
    </w:p>
    <w:p>
      <w:r>
        <w:t>Le Tribunal de céans relève que si le recourant estime que son état de santé s'est modifié par la suite il peut déposer une demande de révision au sens de l'art. 88 du règlement du 17 janvier 1961 sur l'assurance-invalidité (RAI, RS 831.201).</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cas échéant ouverture du droit à une rente d'invalidité en application de l'art. 29 al. 2 LAI dans sa teneur jusqu'au 31 décembre 2007).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6.2</w:t>
      </w:r>
    </w:p>
    <w:p>
      <w:r>
        <w:t>En l'espèce les revenus pris en compte par l'OAIE pour le recourant relatifs à sa période de cotisations ne sont pas remis en cause. Ils correspondent à son activité déployée en Suisse compte tenu des indications portées sur son compte individuel.</w:t>
      </w:r>
    </w:p>
    <w:p>
      <w:r>
        <w:rPr>
          <w:b/>
        </w:rPr>
        <w:t>E. 6.3</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ou qui auraient pris naissance en 2005, ce sont les Tables des rentes 2005 qui sont applicables pour la détermination de l'échelle de rente, que la rente soit versée à l'ouverture du droit ou ultérieurement. Il sied de préciser que la notion de rente complète / partielle en référence à la durée de cotisations complète / partielle des assurés de la classe d'âge est distincte de la notion de rente entière / partielle en référence au taux d'invalidité. La première établit l'importance économique d'une rente en fonction des années de cotisations, lesquelles sont au maximum de 43 années pour une femme et de 44 années pour un homme, déterminant une rente complète ou partielle au prorata des années de cotisations. La deuxième indique le droit à la rente par rapport à une rente entière compte tenu du taux d'invalidité. Il s'ensuit qu'un taux d'invalidité par exemple de 70 % ouvrant le droit à une rente d'invalidité entière peut donner lieu à une rente partielle ou complète des échelles 1 à 44 déterminée en fonction des années entières de cotisations.</w:t>
      </w:r>
    </w:p>
    <w:p>
      <w:r>
        <w:rPr>
          <w:b/>
        </w:rPr>
        <w:t>E. 6.4</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En l'espèce, il n'est pas contesté que l'assuré compte 15 années et 4 mois de cotisations. Or, pour le recourant, né en 1952, 15 années entières de cotisations sur les 32 années des assurés de sa classe d'âge conférant le droit à une rente de l'échelle 44, l'échelle applicable est l'échelle 21 correspondant à 47.73 % d'une rente complète. (Tables des rentes 2005, p. 7 et 10; art. 52 RAVS).</w:t>
      </w:r>
    </w:p>
    <w:p>
      <w:r>
        <w:rPr>
          <w:b/>
        </w:rPr>
        <w:t>E. 6.5</w:t>
      </w:r>
    </w:p>
    <w:p>
      <w:r>
        <w:t>Selon l'art. 29sexies al. 1 et 2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aux deux bonifications cumulées. La bonification pour tâches éducatives correspond au triple du montant de la rente de vieillesse annuelle minimale prévu à l'art. 34 LAVS, au moment de la naissance du droit à la rente. En l'occurrence, le montant minimum de la rente vieillesse annuelle au moment de la naissance du droit était de Fr. 1'075.-- (Tables des rentes 2005 p. 18).</w:t>
      </w:r>
    </w:p>
    <w:p>
      <w:r>
        <w:rPr>
          <w:b/>
        </w:rPr>
        <w:t>E. 6.6</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comme pour la rente d'invalidité, celui correspondant à la première année pour laquelle des cotisations ont été versées entre l'année qui suit l'accomplissement de la vingtième année et celle de l'ouverture du droit à la rente. En l'espèce le facteur de revalorisation en référence à l'année 2005 pour l'inscription suivant la 20ème année, en 1973, applicable au recourant est 1.192 (Tables des rentes 2005, p. 17).</w:t>
      </w:r>
    </w:p>
    <w:p>
      <w:r>
        <w:rPr>
          <w:b/>
        </w:rPr>
        <w:t>E. 7</w:t>
      </w:r>
    </w:p>
    <w:p>
      <w:r>
        <w:t>Les revenus de l'assuré pour les années 1972 à 1990 totalisent Fr. 531'370.--. Le facteur de revalorisation appliqué en 2005 à l'année 1973 (20ème année) est 1.192. Il s'ensuit que le revenu précité, compte tenu d'une durée de cotisations de 184 mois (15 ans et 4 mois), détermine un revenu annuel moyen de Fr. 41'308.-- (531'370 x 1.192 : 184 x 12). Le recourant ayant eu 3 enfants pendant la période précitée, il bénéficie de contributions pour tâches éducatives à partager par moitié avec son épouse. Il a ainsi droit à 13 demi-bonifications pour tâches éducatives et 1 bonification entière prises en compte pour le revenu moyen déterminant soit 7.5 bonifications entières (13 : 2 +1). Ces bonifications représentent un montant de Fr. 18'929.-- (7.5 x (1'075 x 12 x 3) : 184 x12). Ainsi le revenu annuel moyen déterminant est de Fr. 60'237.-- (41'308 + 18'929). Or, ce revenu, porté au revenu annuel moyen déterminant (RAM) de l'échelle 21 pour l'année 2005 (ouverture du droit) de Fr. 60'630.- directement supérieur à son revenu annuel moyen, donne droit à une rente d'invalidité partielle (1/4) mensuelle de Fr. 230.-- (Tables des rentes p. 65). Cette rente indexée au 1er janvier 2007 se monte à Fr. 237.-- (RAM de Fr. 62'322.--; augmentation des rentes au 1er janvier 2007 d'env. 2.1 % avec correction des échelons, Tables des rentes 2007 p. 65). Indexée au 1er janvier 2009, la rente se monte à Fr. 244.-- (RAM de Fr. 64'296.-; augmentation des rentes au 1er janvier 2009 d'env. 2.9%; Tables des rentes 2009 p. 65). Il appert de ce qui précède que le montant de la rente, déterminée valeur 2005 et versée, selon les augmentations précitées, à compter d'octobre 2005 est exact.</w:t>
      </w:r>
    </w:p>
    <w:p>
      <w:r>
        <w:rPr>
          <w:b/>
        </w:rPr>
        <w:t>E. 8</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9.1</w:t>
      </w:r>
    </w:p>
    <w:p>
      <w:r>
        <w:t>Vu l'issue de la procédure, les frais de celle-ci, fixés à Fr. 300.--, sont mis à la charge du recourant (art. 63 al. 1 PA, applicable par le truchement de l'art. 37 LTAF). Ils sont compensés par l'avance de frais du même montant dont elle s'est acquittée au cours de l'instruction.</w:t>
      </w:r>
    </w:p>
    <w:p>
      <w:r>
        <w:rPr>
          <w:b/>
        </w:rPr>
        <w:t>E. 9.2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