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C-4591/2019 vom 29. April 2021</w:t>
      </w:r>
    </w:p>
    <w:p>
      <w:r>
        <w:t>Bundesverwaltungsgericht, 2021-04-29, DE</w:t>
      </w:r>
    </w:p>
    <w:p>
      <w:r>
        <w:rPr>
          <w:b/>
        </w:rPr>
        <w:t xml:space="preserve">Quelle: </w:t>
      </w:r>
      <w:r>
        <w:t>https://mcp.opencaselaw.ch/entscheid/bvger_C-4591_2019</w:t>
      </w:r>
    </w:p>
    <w:p>
      <w:r>
        <w:t>FR: TAF C-4591/2019 du 29 avril 2021</w:t>
      </w:r>
    </w:p>
    <w:p>
      <w:r>
        <w:t>IT: TAF C-4591/2019 del 29 aprile 2021</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Auf die frist- und formgerecht eingereichte Beschwerde ist daher einzutreten (Art. 50 Abs. 1 und Art. 52 Abs. 1 VwVG, Art. 60 ATSG).</w:t>
      </w:r>
    </w:p>
    <w:p>
      <w:r>
        <w:rPr>
          <w:b/>
        </w:rPr>
        <w:t>E. 2.1</w:t>
      </w:r>
    </w:p>
    <w:p>
      <w:r>
        <w:t>Der in seiner Heimat Serbien wohnhafte Beschwerdeführer hat die serbische Staatsangehörigkeit. Nach dem Zerfall der Föderativen Volksrepublik Jugoslawien blieben zunächst die Bestimmungen des Abkommens zwischen der Schweizerischen Eidgenossenschaft und der Föderativen Volksrepublik Jugoslawien über Sozialversicherung vom 8. Juni 1962 (SR 0.831.109.818.1; im Folgenden: schweizerisch-jugoslawisches Sozialversicherungsabkommen) für alle Staatsangehörige des ehemaligen Jugoslawiens anwendbar (BGE 126 V 203 E. 2b; BGE 122 V 382 E. 1; BGE 119 V 101 E. 3). Zwischenzeitlich hat die Schweiz mit einigen Nachfolgestaaten des ehemaligen Jugoslawiens neue Abkommen über soziale Sicherheit abgeschlossen, so auch mit Serbien. Das entsprechende Abkommen ist per 1. Januar 2019 in Kraft getreten (im Folgenden: schweizerisch-serbisches Abkommen).</w:t>
      </w:r>
    </w:p>
    <w:p>
      <w:r>
        <w:rPr>
          <w:b/>
        </w:rPr>
        <w:t>E. 2.2</w:t>
      </w:r>
    </w:p>
    <w:p>
      <w:r>
        <w:t>Nach der Rechtsprechung stellt das Sozialversicherungsgericht bei der Beurteilung einer Streitsache in der Regel auf den bis zum Zeitpunkt des Erlasses der streitigen Verwaltungsverfügung eingetretenen Sachverhalt ab (BGE 129 V 1 E. 1.2 m.H.). In zeitlicher Hinsicht sind - vorbehältlich besonderer übergangsrechtlicher Regelungen - grundsätzlich diejenigen materiellen Rechtssätze massgebend, die bei der Erfüllung des zu Rechtsfolgen führenden Tatbestandes Geltung haben (BGE 132 V 215 E. 3.1.1; BGE 138 V 475 E. 3.1). Der Beschwerdeführer hat vorliegend im September 2018 das Rentenalter erreicht, womit sein Anspruch auf eine Altersrente im September 2018 entstanden ist. Massgebend sind daher die Rechtsnormen, welche im Oktober 2018 in Kraft standen. Das schweizerisch-serbische Abkommen ist somit auf den vorliegenden Sachverhalt noch nicht anwendbar; folglich findet demnach weiterhin das schweizerisch-jugoslawische Sozialversicherungsabkommen vom 8. Juni 1962 Anwendung (im Folgenden: Sozialversicherungsabkommen).</w:t>
      </w:r>
    </w:p>
    <w:p>
      <w:r>
        <w:rPr>
          <w:b/>
        </w:rPr>
        <w:t>E. 2.3</w:t>
      </w:r>
    </w:p>
    <w:p>
      <w:r>
        <w:t>Laut Art. 2 des Sozialversicherungsabkommens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Nach Art. 3 des hier massgebenden Staatsvertrags werden AHV-Renten an jugoslawische - bzw. heute serbische - Staatsangehörige ausgerichtet, welche in Jugoslawien bzw. Serbien wohnen und in der Schweiz keinen Wohnsitz haben. Der Staatsvertrag sieht damit eine Ausnahme von der Wohnsitzklausel in Art. 18 Abs. 2 AHVG vor. Nach Art. 7 Bst. a des Sozialversicherungsabkommens wird ferner einem jugoslawischen bzw. serbischen Staatsangehörigen, der sich nicht in der Schweiz aufhält, und Anspruch auf eine ordentliche Teilrente hat, die höchstens ein Zehntel der entsprechenden ordentlichen Vollrente beträgt, anstelle der Teilrente eine Abfindung in der Höhe des Barwertes der geschuldeten Rente gewährt. Beträgt die ordentliche Teilrente mehr als ein Zehntel, aber höchstens ein Fünftel der entsprechenden ordentlichen Vollrente, so kann der jugoslawische bzw. serbische Staatsangehörige, der sich nicht in der Schweiz aufhält oder diese endgültig verlässt, zwischen der Ausrichtung der Rente oder einer Abfindung wählen. Nach Auszahlung der Abfindung durch die schweizerische Versicherung können weder der Berechtigte noch seine Hinterlassenen gegenüber dieser Versicherung irgendwelche Ansprüche aus den durch die Abfindung abgegoltenen Beiträgen mehr geltend machen.</w:t>
      </w:r>
    </w:p>
    <w:p>
      <w:r>
        <w:rPr>
          <w:b/>
        </w:rPr>
        <w:t>E. 3.1</w:t>
      </w:r>
    </w:p>
    <w:p>
      <w:r>
        <w:t>Männer haben - bei Unterstellung unter die schweizerische AHV -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3.2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3.3</w:t>
      </w:r>
    </w:p>
    <w:p>
      <w:r>
        <w:t>Für die Bestimmung der Beitragsjahre werden gemäss Art. 29bis AHVG grundsätzlich nur Zeiten zwischen dem 1. Januar nach Vollendung des 20. Altersjahres und dem 31. Dezember vor Eintritt des Versicherungsfalls berücksichtigt. Als vollständig gilt folglich die Beitragsdauer, wenn die rentenberechtigte Person zwischen dem 1. Januar nach der Vollendung des 20. Altersjahres und dem 31. Dezember vor Eintritt des Rentenalters gleich viele Beitragsjahre aufweist wie ihr Jahrgang (Art. 29bis Abs. 1 AHVG i.V.m. Art. 29ter Abs. 1 AHVG). In Fällen, in denen in einem Kalenderjahr die Beitragsdauer nicht zusammenhängend ist, sind die einzelnen Beitragsperioden zusammenzuzählen. Ergibt das Total keine Anzahl ganzer Monate, ist der Bruchteil eines Monats auf einen ganzen Monat aufzurunden, um ganze Beitragsperioden zu erhalten (Ueli Kieser, Rechtsprechung zur Alter- und Hinterlassenenversicherung, 3. Aufl. 2012, Art. 29ter Rz. 3; BGE 107 V 7 E. 3a). Als Beitragsdauer kann aber lediglich derjenige Zeitabschnitt gelten, in dem eine Person versichert und der Beitragspflicht unterstellt gewesen ist (Wegleitung über die Renten [RWL] in der Eidgenössischen Alters-, Hinterlassenen- und Invalidenversicherung, gültig ab 1. Januar 2003, Stand: 1. Januar 2018, Rz. 5005 ff.). Ist jemand nur während eines Teiles eines Jahres versichert und beitragspflichtig, kann kein volles Beitragsjahr angenommen werden, selbst wenn der für den anderen Teil des Jahres entrichtete Beitrag den Mindestbeitrag übersteigt (Ueli Kieser, a.a.O., Art. 29ter Rz. 3; BGE 99 V 24 E. 1; vgl. auch RWL Rz. 5013 mit Verweis auf ZAK 1974 S. 196). Ohne Vorliegen des zivilrechtlichen Wohnsitzes in der Schweiz werden für die Ermittlung der Beitragszeiten ab dem Jahr 1969 in der Regel die im IK aufgezeichneten Beitragszeiten angerechnet, auch wenn der Einkommenseintrag keiner vollen Erwerbstätigkeit entspricht (RWL Rz. 5015 m.H. auf ZAK 1982 S. 373). Damit ein Jahr als volles Beitragsjahr angerechnet wird, muss eine Beitragsdauer von mehr als elf Monaten vorliegen; dies ist nicht der Fall, wenn eine Beitragsdauer von elf Monaten ohne einen zusätzlichen Bruchteil eines weiteren Monates besteht (Ueli Kieser, a.a.O., Art. 29ter Rz. 3 m.H. auf ZAK 1971 S. 323 E. 3). Ausserdem müssen die geschuldeten Beiträge geleistet sein oder noch entrichtet werden können (Art. 16 Abs. 1 und 2 AHVG), damit ein bestimmter Zeitabschnitt als Beitragsdauer zählen kann (RWL Rz. 5006). Ausländische Beitragszeiten sind im Verhältnis zur EU nicht anzurechnen (BGE 141 V 246 E. 2.2; 130 V 51 E. 4 f.).</w:t>
      </w:r>
    </w:p>
    <w:p>
      <w:r>
        <w:rPr>
          <w:b/>
        </w:rPr>
        <w:t>E. 3.4</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w:t>
      </w:r>
    </w:p>
    <w:p>
      <w:r>
        <w:rPr>
          <w:b/>
        </w:rPr>
        <w:t>E. 4</w:t>
      </w:r>
    </w:p>
    <w:p>
      <w:r>
        <w:t>Nachfolgend ist zu prüfen, ob die Vorinstanz die Anspruchsberechtigung zu Recht wegen ungenügender Beitragsdauer verneint hat.</w:t>
      </w:r>
    </w:p>
    <w:p>
      <w:r>
        <w:rPr>
          <w:b/>
        </w:rPr>
        <w:t>E. 4.1</w:t>
      </w:r>
    </w:p>
    <w:p>
      <w:r>
        <w:t>Im Auszug aus dem individuellen Konto (nachfolgend: IK-Auszug) des Beschwerdeführers vom 20. Dezember 2018 (SAK-act. 13) sind für das Jahr 1981 fünf Monate (04-08) eingetragen. Der Arbeitgeber war folgender: "B._______ [...] C._______ D._______". Für das Jahr 1982 ist ein Beitragsmonat (06-06) angegeben. Der Arbeitgeber ist jedoch EDV-mässig nicht erfasst.</w:t>
      </w:r>
    </w:p>
    <w:p>
      <w:r>
        <w:rPr>
          <w:b/>
        </w:rPr>
        <w:t>E. 4.2</w:t>
      </w:r>
    </w:p>
    <w:p>
      <w:r>
        <w:t>Der Versicherte gab in seinem Gesuch um Ausrichtung einer Altersrente vom 5. November 2018 an (SAK-act. 5 S. 2), 1981 in der "B._______" in C._______ und 1982 in der "E._______" gearbeitet zu haben. Diese Angaben decken sich mit den Eintragungen in seinem IK. Der Beschwerdeführer behaupte auch nicht, mehr Erwerbszeiten in der Schweiz gehabt zu haben und verlangte keine Berichtigung des Kontoauszugs.</w:t>
      </w:r>
    </w:p>
    <w:p>
      <w:r>
        <w:rPr>
          <w:b/>
        </w:rPr>
        <w:t>E. 4.3</w:t>
      </w:r>
    </w:p>
    <w:p>
      <w:r>
        <w:t>Demzufolge hat der Beschwerdeführer die Mindestbeitragsdauer gemäss Art. 29 Abs. 1 AHVG nicht erfüllt und folglich keinen Anspruch auf eine Altersrente oder eine einmalige Abfindung der schweizerischen AHV. Ferner sehen weder das anwendbare Sozialversicherungsabkommen selbst, noch andere, für die Schweiz und den Heimatstaat des Beschwerdeführers verbindliche, zwischenstaatliche Abkommen eine Möglichkeit zur Rückvergütung der Beiträge vor (vgl. Urteil des Bundesverwaltungsgerichts C-751/2017 vom 27. Juni 2017 E. 5.1 und 5.2 m.w.H.).</w:t>
      </w:r>
    </w:p>
    <w:p>
      <w:r>
        <w:rPr>
          <w:b/>
        </w:rPr>
        <w:t>E. 4.4</w:t>
      </w:r>
    </w:p>
    <w:p>
      <w:r>
        <w:t>Zusammenfassend ergibt sich, dass die Vorinstanz mit Einspracheverfügung vom 2. Juli 2019 zu Recht den Anspruch des Beschwerdeführers auf eine Altersrente in Form einer monatlichen Rente oder einer einmaligen Abfindung sowie eine Rückvergütung verneint hat. Die gegen den Einspracheentscheid vom 2. Juli 2019 erhobene Beschwerde erweist sich als offensichtlich unbegründet, weshalb sie im einzelrichterlichen Verfahren abzuweisen ist (vgl. Art. 23 Abs. 2 VGG i.V.m. Art. 85bis Abs. 3 AHVG).</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