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C-4591/2012 vom 21. Januar 2013</w:t>
      </w:r>
    </w:p>
    <w:p>
      <w:r>
        <w:t>Bundesverwaltungsgericht, 2013-01-21, FR</w:t>
      </w:r>
    </w:p>
    <w:p>
      <w:r>
        <w:rPr>
          <w:b/>
        </w:rPr>
        <w:t xml:space="preserve">Quelle: </w:t>
      </w:r>
      <w:r>
        <w:t>https://mcp.opencaselaw.ch/entscheid/bvger_C-4591_2012</w:t>
      </w:r>
    </w:p>
    <w:p>
      <w:r>
        <w:t>FR: TAF C-4591/2012 du 21 janvier 2013</w:t>
      </w:r>
    </w:p>
    <w:p>
      <w:r>
        <w:t>IT: TAF C-4591/2012 del 21 gennaio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l'ODM, qu'en tant que destinataire de la décision attaquée, il est spécialement atteint par celle-ci et qu'enfin, il a un intérêt digne de protection à son annulation, dès lors que son intérêt à pouvoir rendre visite à son frère en Suisse demeure actuel.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kosovar, A._______ est soumis à l'obligation du visa.</w:t>
      </w:r>
    </w:p>
    <w:p>
      <w:r>
        <w:rPr>
          <w:b/>
        </w:rPr>
        <w:t>E. 5</w:t>
      </w:r>
    </w:p>
    <w:p>
      <w:r>
        <w:t>Dans la décision querellée, l'ODM a refusé d'autoriser l'entrée en Suisse de A._______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au Kosovo sur le plan social et économique. A ce propos, il convient de prendre en considération les conditions économiques et sociales difficiles que connaît l'ensemble de la population au Kosovo. Bien que l'économie du pays poursuive sa lente croissance, les disparités économiques avec la Suisse demeurent, près de cinq ans après la proclamation d'indépendance, considérables. La République du Kosovo est l'un des pays les plus pauvres d'Europe. Le fait que le produit intérieur brut (PIB) par habitant en 2011 s'élevait à environ EUR 2'600.- pour le Kosovo et à environ USD 81'200.- pour la Suisse en constitue une preuve évidente (sources : le site internet du Ministère français des Affaires étrangères : http://www.diplomatie.gouv.fr &gt; pays - zones géo &gt; Kosovo &gt; présentation, état au 5 mars 2012; le site internet du Ministère allemand des Affaires étrangères : http://www.auswaertiges-amt.de, Reise und Sicherheit &gt; Reise- und Sicherheitshinweise : Länder A-Z &gt; Kosovo &gt; Wirtschaftspolitik, état: septembre 2012 ainsi que le site internet du Fonds monétaire international : www.imf.org &gt; Data and Statistics &gt; World Economic Outlook Databases (WEO) &gt; World Economic Outlook Databases october 2012 &gt; By Countries (country-level data) &gt; All countries, consultés en janvier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notamment en la personne du frère de l'intéressé.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 plaide en faveur de sa sortie ponctuelle de Suisse, respectivement de l'Espace Schengen, au terme du séjour envisagé.</w:t>
      </w:r>
    </w:p>
    <w:p>
      <w:r>
        <w:rPr>
          <w:b/>
        </w:rPr>
        <w:t>E. 6.1</w:t>
      </w:r>
    </w:p>
    <w:p>
      <w:r>
        <w:t>Dans le cas d'espèce, le Tribunal constate que le recourant est célibataire et vit auprès de ses parents avec deux de ses frères. Dans son mémoire de recours, A._______ a précisé qu'il était fiancé et qu'il entendait fonder une famille au terme de ses études de droit à l'Université de Pristina. Cela étant, si les attaches familiales dans le pays d'origine, notamment la présence d'une fiancée, constituent généralement une circonstance de nature à inciter un ressortissant étranger à retourner dans sa patrie après un séjour à l'étranger, tel n'est toutefois pas nécessairement le cas lorsqu'il existe, comme en l'espèce, des disparités considérables au plan socio-économique entre ce pays et la Suisse. Dans pareils cas, il n'est en effet pas rare que la personne ayant obtenu un visa pour la Suisse soit précisément tentée, un fois sur le territoire helvétique, de s'installer durablement dans ce pays dans le but d'y faire venir ultérieurement des membres de sa famille restés au pays ou de les soutenir financièrement. En outre, le recourant dispose également d'attaches familiales en Suisse. En effet, dans sa lettre d'invitation datée du 21 mai 2012, le frère du recourant a précisé que le but du séjour de A._______ était de rendre visite à ses frères ainsi qu'à une partie de sa famille qui vivait en Suisse depuis plusieurs années et sur un formulaire de demande de visa rempli en 2002, l'intéressé a indiqué souhaiter rendre visite à un cousin domicilié à X._______. Or, comme relevé plus haut (cf. consid. 5.2), la présence d'un réseau social préexistant constitue un élément susceptible de faciliter la création d'une nouvelle existence hors de la patrie. Il importe également de relever que le prénommé ne dispose pas de responsabilités familiales, telles que la présence d'enfants dont il devrait assurer l'éducation ou de parents qui souffriraient de problèmes de santé nécessitant son soutien au quotidien.</w:t>
      </w:r>
    </w:p>
    <w:p>
      <w:r>
        <w:rPr>
          <w:b/>
        </w:rPr>
        <w:t>E. 6.2</w:t>
      </w:r>
    </w:p>
    <w:p>
      <w:r>
        <w:t>S'agissant de la situation professionnelle de A._______, le Tribunal de céans estime que la nature des études poursuivies ainsi que leur état d'avancement constituent effectivement des éléments susceptibles de dissuader le recourant de s'établir en Suisse ou dans l'Espace Schengen. Cela étant, cet élément ne saurait être considéré, à lui seul, comme une garantie que le recourant ne soit pas tenté de prolonger son séjour en Suisse, respectivement dans l'Espace Schengen. D'autant moins qu'il n'est pas rare qu'un étranger qui bénéficie d'une bonne formation dans son pays d'origine, y compris d'une formation universitaire qu'il ne pourra pas mettre à son profit à l'étranger, renonce volontairement à l'exercice d'un emploi qualifié dans son pays, afin de s'établir dans une région où les conditions économiques et sociales, notamment sur le marché du travail, sont nettement plus favorables, en particulier en présence de disparités socio-économiques aussi importantes qu'entre la Suisse et le Kosovo.</w:t>
      </w:r>
    </w:p>
    <w:p>
      <w:r>
        <w:rPr>
          <w:b/>
        </w:rPr>
        <w:t>E. 6.3</w:t>
      </w:r>
    </w:p>
    <w:p>
      <w:r>
        <w:t>Dans son pourvoi, A._______ a fait valoir que ses parents étaient propriétaires de leur maison familiale ainsi que de nombreuses terres. Ces arguments ne permettent toutefois pas au Tribunal de retenir que la situation financière et patrimoniale de l'intéressé et de sa famille soit à ce point stable qu'elle permettrait de tenir le départ du recourant de Suisse au terme du visa sollicité pour assuré. Certes, le recourant a affirmé que ses parents le soutenaient financièrement durant ses études. Il ressort toutefois des pièces du dossier que le frère de A._______ qui séjourne en Suisse assume également une partie du coût de la vie du recourant. Partant, il apparaît que le recourant dépend d'une aide financière apportée par son frère établi en Suisse, ce qui laisse penser que la situation financière de la famille au Kosovo n'est pas aussi aisée que le recourant l'affirme.</w:t>
      </w:r>
    </w:p>
    <w:p>
      <w:r>
        <w:rPr>
          <w:b/>
        </w:rPr>
        <w:t>E. 6.4</w:t>
      </w:r>
    </w:p>
    <w:p>
      <w:r>
        <w:t>En outre, le fait que le prénommé ait initialement requis un visa d'une durée d'un mois (cf. formulaire de demande de visa rempli le 22 mai 2012), que son frère ait indiqué qu'il souhaitait l'inviter durant 15 jours (cf. lettre d'invitation du 21 mai 2012) et que, dès son opposition auprès de l'ODM, le recourant ait affirmé qu'il souhaitait venir en Suisse pour un séjour d'une durée de deux semaines n'est guère rassurant, dans la mesure où cela laisse apparaître que les modalités du séjour envisagé n'étaient pas clairement définies.</w:t>
      </w:r>
    </w:p>
    <w:p>
      <w:r>
        <w:rPr>
          <w:b/>
        </w:rPr>
        <w:t>E. 6.5</w:t>
      </w:r>
    </w:p>
    <w:p>
      <w:r>
        <w:t>Tenant compte des éléments qui précèdent, ainsi que du fait que le prénommé serait en mesure de prolonger son séjour sur le territoire helvétique à l'échéance de son visa, voire d'envisager une nouvelle existence dans ce pays, le Tribunal de céans ne saurait reprocher à l'ODM d'avoir confirmé le refus d'autorisation d'entrée dans l'Espace Schengen.</w:t>
      </w:r>
    </w:p>
    <w:p>
      <w:r>
        <w:rPr>
          <w:b/>
        </w:rPr>
        <w:t>E. 7</w:t>
      </w:r>
    </w:p>
    <w:p>
      <w:r>
        <w:t>Le Tribunal relève par ailleurs que le désir exprimé par A._______, au demeurant parfaitement compréhensible, de venir en Suisse, afin de rendre visite à son frère ainsi qu'à d'autres membres de sa famille,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leurs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 recourant et son frère de se voir, les intéressés pouvant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Dans son mémoire de recours du 4 septembre 2012, le recourant s'est référé à une arrêt du Tribunal de céans (arrêt du Tribunal administratif fédéral C-7884/2010 du 3 octobre 2011), en exposant que le Tribunal avait retenu, dans cette affaire qui présentait un état de fait similaire à la présente cause, qu'eu égard aux études poursuivies par la recourante dans son pays d'origine et aux liens socio-familiaux qui la rattachaient naturellement à son pays, les craintes de l'ODM ne pouvaient être partagées. A._______ a ainsi implicitement fait valoir une inégalité de traitement. Le Tribunal souligne cependant qu'en matière de délivrance d'autorisations d'entrée en Suisse, les spécificités de la cause, en particulier la situation personnelle, familiale et professionnelle de l'invité ainsi que la situation socio-économique prévalant dans son pays d'origine sont déterminantes dans le cadre de la pesée des intérêts à laquelle les autorités helvétiques sont tenues de procéder, de sorte qu'il est très difficile d'établir des comparaisons entre plusieurs affaires. Il convient également de relever que la législation sur les étrangers ne garantit aucun droit quant à l'octroi d'un visa et que les autorités helvétiques doivent examiner en fonction des circonstances particulières de chaque requête le risque résultant du fait que la personne bénéficiant d'un visa d'entrée ne quitte pas la Suisse, voire l'Espace Schengen au terme de son séjour. Lorsqu'ils statuent en tenant compte de l'ensemble des circonstances, comme tel a été le cas en l'espèce, l'ODM et le Tribunal établissent des distinctions qui se justifient pleinement, de sorte qu'on ne saurait y voir une violation de l'égalité de traitement.</w:t>
      </w:r>
    </w:p>
    <w:p>
      <w:r>
        <w:rPr>
          <w:b/>
        </w:rPr>
        <w:t>E. 10</w:t>
      </w:r>
    </w:p>
    <w:p>
      <w:r>
        <w:t>Par ailleurs, le recourant n'a pas invoqué de raisons susceptibles de justifier la délivrance d'un visa à validité territoriale limitée (cf. consid. 4.4 ci-avant).</w:t>
      </w:r>
    </w:p>
    <w:p>
      <w:r>
        <w:rPr>
          <w:b/>
        </w:rPr>
        <w:t>E. 11</w:t>
      </w:r>
    </w:p>
    <w:p>
      <w:r>
        <w:t>Compte tenu des considérants exposés ci-dessus, le Tribunal estime qu'il ne saurait être reproché à l'ODM d'avoir refusé la délivrance d'une autorisation d'entrée dans l'Espace Schengen en faveur de A._______. Il s'ensuit que, par sa décision du 3 juillet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