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C-4590/2008 vom 27. März 2009</w:t>
      </w:r>
    </w:p>
    <w:p>
      <w:r>
        <w:t>Bundesverwaltungsgericht, 2009-03-27, FR</w:t>
      </w:r>
    </w:p>
    <w:p>
      <w:r>
        <w:rPr>
          <w:b/>
        </w:rPr>
        <w:t xml:space="preserve">Quelle: </w:t>
      </w:r>
      <w:r>
        <w:t>https://mcp.opencaselaw.ch/entscheid/bvger_C-4590_2008</w:t>
      </w:r>
    </w:p>
    <w:p>
      <w:r>
        <w:t>FR: TAF C-4590/2008 du 27 mars 2009</w:t>
      </w:r>
    </w:p>
    <w:p>
      <w:r>
        <w:t>IT: TAF C-4590/2008 del 27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et Y._______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ressortissants du Sri Lanka, Z._______ et U._______ sont soumis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Toutefois,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l'ODM a estimé que la sortie de Suisse de Z._______ et U._______ au terme du séjour sollicité n'était pas suffisamment assurée. L'argumentation de l'ODM, tant dans la décision attaquée que dans les observations du 24 septembre 2008, est toutefois trop schématique et ne tient pas suffisamment compte des particularités du cas d'espèce, en ce sens qu'elle procède d'une évaluation non pertinente du comportement des intéressés une fois arrivés en Suisse au vu des visas déjà délivrés. Certes, au vu de la situation sur le plan social et économique qui prévaut au Sri Lanka, d'où sont originaires les invités, on ne saurait d'emblée écarter les craintes émises par l'ODM que ces derniers ne cherchent à prolonger leur séjour en Suisse au-delà de la validité du visa sollicité. Toutefois, dans le cas particulier, il convient de prendre en considération le fait que, depuis 2001, les intéressés sont venus régulièrement rendre visite durant trois mois à leurs parenté en Suisse (à quatre reprise pour U._______ et à deux reprises pour Z._______), dont les deux dernières fois ensemble en 2006, sans que cela ne pose problème, puisque ces derniers sont repartis à chaque fois dans leur patrie à l'échéance de la durée de validité des visas octroyés, alors même qu'ils auraient pu tenter de demeurer à ce moment-là en Suisse en prolongeant leur séjour par divers moyens procéduriers. Par ailleurs, rien n'indique que la situation personnelle ou familiale de Z._______ et U._______ ait changé depuis leur dernière visite en Suisse au point que ces derniers ne seraient plus disposés à retourner de leur plein gré dans leur patrie. Quant à la situation générale au Sri Lanka, elle est devenue certes plus difficile au nord du pays du fait des combats qui s'y déroulent entre forces gouvernementales et indépendantistes tamoules. Il ne ressort toutefois pas du dossier, ou à tout le moins rien ne permet d'en inférer que la situation actuelle au Sri Lanka serait de nature à modifier le comportement des intéressés une fois en Suisse. Il existe donc une sérieuse présomption, fondée sur le comportement passé de U._______ et de Z._______, que ces derniers quittent une nouvelle fois la Suisse à l'échéance du visa qui pourrait leur être accordé. Cette présomption est encore renforcée par la situation personnelle dont les intéressés peuvent se prévaloir dans leur pays, puisqu'il ressort des documents figurant au dossier que U._______ est femme au foyer, que Z._______ est retraité, que tous les deux sont mariés et propriétaires de leur maison à Colombo et qu'ils affirment posséder des économies substantielles eu égard aux nombreuses années où ils avaient oeuvré en Arabie Saoudite. Dans la mesure où leur situation financière semble stable et où ils disposent de temps du fait de leur retraite pour rendre visite à leurs enfants et petits-enfants domiciliés en Suisse, il ne saurait leur être reproché de solliciter des visas d'une durée de trois mois pour ce faire.</w:t>
      </w:r>
    </w:p>
    <w:p>
      <w:r>
        <w:rPr>
          <w:b/>
        </w:rPr>
        <w:t>E. 9</w:t>
      </w:r>
    </w:p>
    <w:p>
      <w:r>
        <w:t>Compte tenu de ce qui précède, le risque que les invités cherchent à s'établir définitivement en Suisse est donc minime. Prenant acte du contenu du mémoire de recours et des déterminations du 10 novembre 2008, dans lesquels les recourant ont assuré les autorités helvétiques que Z._______ et U._______ quitteraient la Suisse à l'échéance de leur visa, le Tribunal de céans ne décèle aucun indice permettant de mettre en doute la bonne foi des invités et la volonté de leurs hôtes de respecter le motif et la durée du visa sollicité. Tout bien considéré, le Tribunal estime dès lors qu'il serait inopportun de refuser à Z._______ et U._______ l'autorisation d'entrée en Suisse, l'intérêt privé de ces derniers à pouvoir venir en Suisse pour rendre visite à leur fille et à sa famille durant trois mois prévalant sur l'intérêt public contraire à refuser le visa sollicité, au vu des garanties apportées quant à une sortie de Suisse dans le délai fixé. En conséquence, le recours est admis, la décision attaquée annulée et la cause renvoyée pour nouvel examen à l'ODM, lequel devra déterminer si les recourants remplissent les conditions d'entrée posées par le code frontières Schengen ou s'il convient, cas échéant, de leur octroyer un visa à validité territoriale limitée en application de l'art. 2 al. 4 OEV.</w:t>
      </w:r>
    </w:p>
    <w:p>
      <w:r>
        <w:rPr>
          <w:b/>
        </w:rPr>
        <w:t>E. 10</w:t>
      </w:r>
    </w:p>
    <w:p>
      <w:r>
        <w:t>Obtenant gain de cause, les recourants n'ont pas à supporter de frais de procédure (art. 63 al. 1 a contrario et al. 3 PA) et ont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1'300.--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