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C-4587/2012 vom 30. September 2013</w:t>
      </w:r>
    </w:p>
    <w:p>
      <w:r>
        <w:t>Bundesverwaltungsgericht, 2013-09-30, IT</w:t>
      </w:r>
    </w:p>
    <w:p>
      <w:r>
        <w:rPr>
          <w:b/>
        </w:rPr>
        <w:t xml:space="preserve">Quelle: </w:t>
      </w:r>
      <w:r>
        <w:t>https://mcp.opencaselaw.ch/entscheid/bvger_C-4587_2012</w:t>
      </w:r>
    </w:p>
    <w:p>
      <w:r>
        <w:t>FR: TAF C-4587/2012 du 30 septembre 2013</w:t>
      </w:r>
    </w:p>
    <w:p>
      <w:r>
        <w:t>IT: TAF C-4587/2012 del 30 settembre 2013</w:t>
      </w:r>
    </w:p>
    <w:p>
      <w:pPr>
        <w:pStyle w:val="Heading2"/>
      </w:pPr>
      <w:r>
        <w:t>Regeste</w:t>
      </w:r>
    </w:p>
    <w:p>
      <w:r>
        <w:t>Revisione della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w:t>
      </w:r>
    </w:p>
    <w:p>
      <w:r>
        <w:t>Dopo la dissoluzione della Repubblica popolare federativa di Jugoslavia (RPFJ), in un primo tempo, sono rimaste applicabili ai cittadini dell'ex-Jugoslavia le disposizioni della Convenzione dell'8 giugno 1962 tra la Confederazione svizzera e la Repubblica popolare federativa di Jugoslavia concernenti le assicurazioni sociali (RS 0.831.109.818.1; DTF 126 V 203 consid. 2b, 122 V 382 consid. 1, 119 V 101 consid. 3). Nel frattempo la Svizzera ha concluso dei nuovi accordi riguardanti le assicurazioni sociali con una parte degli Stati che sono succeduti alla RPFJ, tra cui la Croazia. La Convenzione di sicurezza sociale tra la Confederazione svizzera e la Repubblica di Croazia del 9 aprile 1996 (Convenzione; RS 0.831.109.291.1), in vigore dal 1° gennaio 1998, ha abrogato la Convenzione dell'8 giugno 1962 con la RPFJ (art. 40 della Convenzione). Secondo l'art. 4 cpv. 1 della Convenzione, i cittadini svizzeri e croati godono della parità di trattamento quanto ai diritti e agli obblighi derivanti dalle legislazioni indicate nell'articolo 2, tra cui è contata anche la legislazione federale svizzera sull'assicurazione contro l'invalidità, salvo eccezioni previste dalla Convenzione. Rispetto alle condizioni del diritto ad una rendita d'invalidità svizzera e alle disposizioni procedurali svizzere applicabili, non esistono eccezioni al principio della parità di trattamento (art. 16 della Convenzione). Questa è la situazione in concreto dal punto di vista del diritto internazionale, ad ogni modo fino all'adesione della Croazia all'Unione europea il 1° luglio 2013 (cfr., http://www.bsv.admin.ch/themen/internationales/02094/03279/index.html?lang=it).</w:t>
      </w:r>
    </w:p>
    <w:p>
      <w:r>
        <w:rPr>
          <w:b/>
        </w:rPr>
        <w:t>E. 3</w:t>
      </w:r>
    </w:p>
    <w:p>
      <w:r>
        <w:t>L'esame del diritto a prestazioni secondo la LAI è retto dal tenore della stessa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si applicano quindi in concreto, visto che la procedura di revisione è stata iniziata nel 2008, come pure le norme della 6a revisione della LAI (primo pacchetto di misure), in vigore dal 1° gennaio 2012 (RU 2011 5659; FF 2010 1603), la decisione impugnata essendo stata emanata il 15 agosto 2012. Sono inoltre applicabili le disposizioni della LPGA, se e per quanto la LAI lo preveda (art. 2 LPGA).</w:t>
      </w:r>
    </w:p>
    <w:p>
      <w:r>
        <w:rPr>
          <w:b/>
        </w:rPr>
        <w:t>E. 4</w:t>
      </w:r>
    </w:p>
    <w:p>
      <w:r>
        <w:t>La ricorrente contesta la decisione, emanata dall'UAIE il 15 agosto 2012, di sostituzione della sua rendita intera d'invalidità con una mezza rendita a decorrere dal 1° ottobre 2012.</w:t>
      </w:r>
    </w:p>
    <w:p>
      <w:r>
        <w:rPr>
          <w:b/>
        </w:rPr>
        <w:t>E. 5.1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Le rendite corrispondenti a un grado d'invalidità inferiore al 50% sono versate solo agli assicurati che sono domiciliati e dimorano abitualmente (art. 13 LPGA) in Svizzera, salvo che si tratti di cittadini svizzeri o dell'Unione europea e ivi residenti. Ai cittadini croati, ad ogni modo fino all'adesione del loro paese all'Unione europea il 1° luglio 2013, le dette rendite sono concesse solo se il beneficiario è domiciliato in Svizzera (art. 5 cpv. 1 della Convenzione; cfr. consid. 2).</w:t>
      </w:r>
    </w:p>
    <w:p>
      <w:r>
        <w:rPr>
          <w:b/>
        </w:rPr>
        <w:t>E. 5.3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5.4</w:t>
      </w:r>
    </w:p>
    <w:p>
      <w:r>
        <w:t>Giova ancora ricordare che,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dell'ordinanza federale sull'assicurazione invalidità del 17 gennaio 1961 (OAI, RS 831.201),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(art. 88a cpv. 1 OAI). La riduzione o la soppressione della rendita è messa in atto, il più presto, il primo giorno del secondo mese che segue la notifica della decisione (art. 88bis cpv. 2 lett. a OAI).</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cpv. 1 LPGA (DTF 112 V 372 consid. 2b e 390 consid. 1b, RCC 1987 p. 36, SVR 2004 IV n. 5 consid. 3.3.3). L'istituto della revisione non deve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pag. 15).</w:t>
      </w:r>
    </w:p>
    <w:p>
      <w:r>
        <w:rPr>
          <w:b/>
        </w:rPr>
        <w:t>E. 6.5</w:t>
      </w:r>
    </w:p>
    <w:p>
      <w:r>
        <w:t>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 In concreto, è giudizioso considerare quale periodo d'esame quello intercorrente tra il 13 febbraio 2002, data della prima decisione, e il 15 agosto 2012, data della decisione qui avversata.</w:t>
      </w:r>
    </w:p>
    <w:p>
      <w:r>
        <w:rPr>
          <w:b/>
        </w:rPr>
        <w:t>E. 7</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8.1</w:t>
      </w:r>
    </w:p>
    <w:p>
      <w:r>
        <w:t>In concreto, dai documenti medici all'incarto e, in particolare, dalle perizie dei dottori G.______, psichiatra, del 29 agosto 2011 (doc. 17), e H.______, reumatologo, del 30 agosto 2011 (doc. 18), nonché dai rapporti della dott.ssa I.______, psichiatra, medico dell'UAIE, del 15 novembre 2011 e 28 dicembre 2012 (doc. 22 e 47), si evince la diagnosi, con influenza sulla capacità lavorativa, di sindrome vertebrale con leggere alterazioni degenerative, di disturbo depressivo recidivante e di sindrome dolorosa persistente. Questa diagnosi è univoca agli atti e non è contestata dalla ricorrente, dimodoché questo Tribunale non può che adottarla.</w:t>
      </w:r>
    </w:p>
    <w:p>
      <w:r>
        <w:rPr>
          <w:b/>
        </w:rPr>
        <w:t>E. 8.2</w:t>
      </w:r>
    </w:p>
    <w:p>
      <w:r>
        <w:t>Nell'ambito della procedura di revisione iniziata nel giugno 2008, l'UAIE ha fatto eseguire, su indicazione del proprio servizio medico, nella persona del dott. F.______, generalista, due perizie mediche, una psichiatrica, del 29 agosto 2011, e una reumatologica, del 30 agosto 2011 (doc. 5, 17 e 18). La prima è stata redatta dal dott. G.______, il quale ha indicato che la situazione della ricorrente "con l'andare del tempo, da una parte si è cronicizzata e, dall'altra parte, vi è un miglioramento dello stato depressivo [...] che io con precisione non riesco a mettere in evidenza, ragione per la quale bisognerebbe chiedere anche il parere della psichiatra curante per avere dei dati ben precisi", e che "è molto difficile per me descrivere da quando precisamente [la ricorrente] presenta un'inabilità lavorativa" (perizia, pagg. 8 e 9). Malgrado queste titubanze, il perito ha più volte affermato che la capacità lavorativa attuale, da un punto di vista meramente psichiatrico, è pari al 50% in attività adeguate come quelle d'infermiera, di strumentista, d'impiegata ospedaliera o di casalinga, percentuale che egli giustifica riferendosi alla presenza persistente di vari sintomi quali "la perdita d'interesse, la mancanza di reattività emozionale, disturbi del sonno [ed] alcuni disturbi cognitivi" (perizia, pagg. 7 a 10, passim). Lo psichiatra ha quindi concluso che è subentrato un miglioramento dello stato di salute con influsso positivo sull'incapacità lavorativa, la quale sarebbe scesa precisamente dall'80 al 50%, senza tuttavia sapere indicare da quando (perizia, pagg. 9 e 10). A questo proposito non si capisce, nelle domande 2a e b poste al perito dall'UAIE, a quale evento si riferisca la data del 9 ottobre 2009, che secondo lo stesso UAIE corrisponderebbe alla "data della decisione di riconoscimento del diritto, rispettivamente della comunicazione all'assicurata" (perizia, pagg. 9 e 10), ciò che non risulta dagli atti. La seconda perizia è stata stilata dal dott. H.______, il quale ha osservato che i disturbi alla colonna lombare, rilevati a suo tempo dal dott. C.______, sono rimasti invariati, il reperto clinico essendo ad ogni modo molto blando, con mobilità praticamente normale, benché associata a dolori nella fase iniziale dei movimenti, senza segni d'insufficienza segmentale o instabilità e senza deficit sensitivo-motorici, i disturbi della sensibilità alla gamba sinistra non potendo essere qualificati di dermatometrici (perizia, pagg. 5 e 8). Il perito ha inoltre sottolineato che il quadro lombare è chiaramente influenzato dalla problematica principale, ossia la fibromialgia generalizzata, già diagnosticata dal dott. C.______, con la presenza di tutti i "tender points", ai quali sono associati disturbi funzionali come i disturbi del sonno, un affaticamento rapido ed una stanchezza cronica (perizia, pag. 8). Per quanto riguarda i limiti funzionali, il reumatologo ha ripreso sostanzialmente quelli descritti dal dott. C.______, di cui si dirà dettagliatamente, se necessario, in seguito, e, rispetto all'incapacità lavorativa, egli ha considerato la ricorrente, come infermiera presso una casa per anziani, inabile al lavoro al 25% a partire da subito, senza tuttavia condividere il parere del dott. C.______ secondo cui vi sarebbe un'ulteriore riduzione del 15% dovuta a stanchezza cronica o affaticamento rapido, e, come infermiera in ospedale (dermatologia, oftalmologia, otorinolaringoiatria), senza compiti pesanti relativi alla presa a carico di pazienti, casalinga o in attività confacenti, completamente abile al lavoro da subito (perizia, pagg. 9 e 10).</w:t>
      </w:r>
    </w:p>
    <w:p>
      <w:r>
        <w:rPr>
          <w:b/>
        </w:rPr>
        <w:t>E. 8.3</w:t>
      </w:r>
    </w:p>
    <w:p>
      <w:r>
        <w:t>La dott.ssa I.______ ha evidenziato, nella sua presa di posizione del 15 novembre 2011, che il punto essenziale consiste nell'identificare se la sindrome somatoforme da dolore persistente è accompagnata da una comorbidità psichiatrica influente sulla capacità lavorativa. Il medico dell'UAIE ha rilevato che i dottori H.______ e D._______ hanno valutato lo stesso stato di salute in modo diverso, il primo avendo fissato una piena capacità lavorativa come infermiera senza attività fisica importante, il secondo una capacità lavorativa del 50% "ohne klare Stellungnahme zu den Beeinträchtigungen inklusive der rheumatologischen Beschwerden" (presa di posizione, pag. 2). Il medico dell'UAIE ha concluso che la ricorrente è in grado di lavorare a tempo pieno, nei settori della vendita all'ingrosso e al dettaglio, nonché come cassiera, ricezionista, telefonista o addetta alla raccolta di dati, con una leggera riduzione del rendimento, aggiungendo che "aufgrund der Akten dürfte jedoch eine medizinische Stellungnahme bei einem juristischen Streit nicht einfach sein" (presa di posizione, pag. 2). Nell'ambito della presente procedura la dott.ssa I.______ si è nuovamente pronunciata sul caso il 28 dicembre 2012, alla luce dei nuovi documenti medici croati prodotti dalla ricorrente con la replica. Il medico dell'UAIE ha affermato che la sindrome dolorosa persistente può essere confermata, con, quale comorbidità, la nota sindrome vertebrale accompagnata da leggere alterazioni degenerative, senza una chiara sintomatologia radicolare. Il medico dell'UAIE ha precisato che, vista la perizia del dott. G.______, non è possibile stabilire in che misura percentuale ogni singolo elemento diagnostico rientri nella valutazione globale dell'incapacità lavorativa del 50%, concludendo che non sussistono dubbi rispetto all'apprezzamento della situazione, tenuto conto del fatto che i periti conoscevano gli antecedenti della ricorrente ed hanno valutato il caso dopo averla esaminata personalmente. Il medico dell'UAIE ha peraltro puntualizzato che, in presenza di una sindrome dolorosa persistente, i dolori sono soggettivamente risentiti in modo intenso ("Bei somatoformen Schmerzstörungen ist der subjektive Leidensdruck gross", presa di posizione, pag. 2), ma che non esistono test affidabili per identificare questi disturbi, che la comorbidità fisica non ha carattere progressivo, che la ricorrente non è socialmente isolata e che non si può presumere essere insoddisfacente il risultato della terapia ambulatoriale eseguita in modo conseguente, ciò che permette di escludere che la sindrome somatoforme sia di natura insormontabile.</w:t>
      </w:r>
    </w:p>
    <w:p>
      <w:r>
        <w:rPr>
          <w:b/>
        </w:rPr>
        <w:t>E. 8.4</w:t>
      </w:r>
    </w:p>
    <w:p>
      <w:r>
        <w:t>Visto quanto precede, questo Tribunale constata che il dott. G.______ ha postulato un miglioramento dello stato depressivo della ricorrente, che non ha però saputo caratterizzare in modo sufficientemente chiaro, concludendo cionondimeno, da una prospettiva puramente psichiatrica, ad una riduzione dell'incapacità lavorativa, in attività confacenti, dall'80 al 50%, senza peraltro sapere indicare da quando. Detto altrimenti, il dott. G.______ non ha spiegato in termini medici le ragioni del preteso miglioramento della capacità lavorativa, limitandosi a enunciare genericamente un "miglioramento" dello stato depressivo, dimodoché questo Tribunale non può ammettere che il detto generico "miglioramento", di cui non si conoscono le caratteristiche, presenti un grado di verosimiglianza preponderante, come lo esige la giurisprudenza (cfr. consid. 7). Non sapendo in cosa consista il miglioramento dello stato depressivo, e quindi se esso in definitiva sia intervenuto effettivamente, questo Tribunale non può giungere ad una conclusione attendibile, per quanto riguarda l'aspetto psichiatrico del caso, sulla questione litigiosa relativa alla riduzione della rendita d'invalidità da intera a metà. Relativamente agli aspetti reumatologici, questo Tribunale osserva che il dott. H.______ ha valutato diversamente, rispetto al dott. C.______, la stessa situazione clinica, non evidenziando quindi alcun miglioramento dello stato di salute, ma la sua stazionarietà. Inoltre, questo Tribunale rileva che la dott.ssa I.______ ha concluso, il 15 novembre 2011, ad una piena capacità lavorativa in occupazioni adeguate, seguendo il parere del dott. H.______, mentre sembra considerare, nella sua presa di posizione del 28 dicembre 2012, come aveva già fatto il 30 agosto 2011, che la capacità lavorativa sia del 50%, percentuale che ha giustificato la riduzione della rendita da intera a metà nella decisione impugnata. Stando così le cose, questo Tribunale non può considerare che le condizioni per procedere ad una riduzione della rendita d'invalidità, da intera a metà, siano adempiute.</w:t>
      </w:r>
    </w:p>
    <w:p>
      <w:r>
        <w:rPr>
          <w:b/>
        </w:rPr>
        <w:t>E. 9</w:t>
      </w:r>
    </w:p>
    <w:p>
      <w:r>
        <w:t>Di conseguenza, il ricorso deve essere accolto e la decisione impugnata riformata, nel senso che la ricorrente continua ad avere diritto ad una rendita intera d'invalidità anche dopo il 30 settembre 2012.</w:t>
      </w:r>
    </w:p>
    <w:p>
      <w:r>
        <w:rPr>
          <w:b/>
        </w:rPr>
        <w:t>E. 10</w:t>
      </w:r>
    </w:p>
    <w:p>
      <w:r>
        <w:t>Secondo l'art. 63 cpv. 1 PA, le spese processuali sono di regola messe a carico della parte soccombente. In concreto, visto l'esito della procedura, non si prelevano spese processuali e la domanda d'assistenza giudiziaria è dichiarata priva d'oggetto. In conformità con l'art. 64 cpv. 1 PA, l'autorità di ricorso, se ammette il ricorso in tutto o in parte, può assegnare al ricorrente una indennità per le spese indispensabili e relativamente elevate che ha sopportato (spese ripetibili). In concreto, la ricorrente avendo agito di persona, non le si assegnano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