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C-4584/2012 vom 4. September 2014</w:t>
      </w:r>
    </w:p>
    <w:p>
      <w:r>
        <w:t>Bundesverwaltungsgericht, 2014-09-04, DE</w:t>
      </w:r>
    </w:p>
    <w:p>
      <w:r>
        <w:rPr>
          <w:b/>
        </w:rPr>
        <w:t xml:space="preserve">Quelle: </w:t>
      </w:r>
      <w:r>
        <w:t>https://mcp.opencaselaw.ch/entscheid/bvger_C-4584_2012</w:t>
      </w:r>
    </w:p>
    <w:p>
      <w:r>
        <w:t>FR: TAF C-4584/2012 du 4 septembre 2014</w:t>
      </w:r>
    </w:p>
    <w:p>
      <w:r>
        <w:t>IT: TAF C-4584/2012 del 4 settembre 2014</w:t>
      </w:r>
    </w:p>
    <w:p>
      <w:pPr>
        <w:pStyle w:val="Heading2"/>
      </w:pPr>
      <w:r>
        <w:t>Regeste</w:t>
      </w:r>
    </w:p>
    <w:p>
      <w:r>
        <w:t>Rückvergütung von Beiträgen</w:t>
      </w:r>
    </w:p>
    <w:p>
      <w:pPr>
        <w:pStyle w:val="Heading2"/>
      </w:pPr>
      <w:r>
        <w:t>Erwägungen</w:t>
      </w:r>
    </w:p>
    <w:p>
      <w:r>
        <w:rPr>
          <w:b/>
        </w:rPr>
        <w:t>E. 3</w:t>
      </w:r>
    </w:p>
    <w:p>
      <w:r>
        <w:t>Nachfolgend ist zu prüfen, ob die SAK das Gesuch um Rückvergütung von AHV-Beiträgen zu Recht abgewiesen hat.</w:t>
      </w:r>
    </w:p>
    <w:p>
      <w:r>
        <w:rPr>
          <w:b/>
        </w:rPr>
        <w:t>E. 3.1</w:t>
      </w:r>
    </w:p>
    <w:p>
      <w:r>
        <w:t>Den Ausländern, die ihren Wohnsitz im Ausland haben und mit de­ren Heimatstaat keine zwischenstaatliche Vereinbarung besteht, sowie ihre Hinterlassenen können die gemäss den Artikeln 5, 6, 8, 10 oder 13 AHVG bezahlten Beiträge rückvergütet werden. Der Bundesrat regelt die Einzelheiten, insbesondere das Ausmass der Rückvergütung (Art. 18 Abs. 3 AHVG). Gemäss Art. 1 Abs. 1 RV-AHV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 und keinen Renten­anspruch begründen.</w:t>
      </w:r>
    </w:p>
    <w:p>
      <w:r>
        <w:rPr>
          <w:b/>
        </w:rPr>
        <w:t>E. 3.2</w:t>
      </w:r>
    </w:p>
    <w:p>
      <w:r>
        <w:t>Vorliegend ist aus den Akten ersichtlich, dass der Beschwerdeführer lediglich von April bis Juni 1982 (vgl. IK-Auszug, SAK-act. 8) in der Schweiz gearbeitet hat, dies bestreitet der Beschwerdeführer nicht. Gemäss Art. 18 Abs. 3 AHVG ist die Rückvergütung der einbezahlten Beiträge nur möglich, wenn mit dem Heimatstaat des betreffenden ausländischen Versicherten kein Abkommen besteht und eine Mindestbeitragszeit von einem Jahr erfüllt worden ist. Diese Voraussetzungen sind beim Beschwerdeführer beide nicht erfüllt, da mit den Staaten der EU - wie bereits erwähnt - ein Abkommen besteht, welches den Versicherten die gegenseitige Anrechnung von Beitragszeiten und den Rentenexport ermöglicht, weshalb die Rückvergütung ausgeschlossen ist. Der Beschwerdeführer weist zudem lediglich eine Beitragszeit von drei Monaten vor und erfüllt somit auch die Mindestbeitragszeit nicht, was die Rückvergütung ebenfalls ausschliesst. Zusammenfassend ist somit festzuhalten, dass der Beschwerdeführer keinen Anspruch auf Rückvergütung der einbezahlten Beiträge hat. Eine allfällige Anrechnung der Beiträge auf eine Rente der deutschen Versicherung hat der Beschwerdeführer bei dieser zu beantragen. Die Verfügung der SAK ist somit zu bestätigen und die Beschwerde im einzelrichterlichen Verfahren gemäss Art. 23 Abs. 2 VGG in Verbindung mit Art. 85bis Abs. 3 AHVG abzuweisen, soweit darauf einzutreten ist.</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73.320.2]). Der unterliegende Beschwerdeführer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