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C-457/2009 vom 10. Mai 2010</w:t>
      </w:r>
    </w:p>
    <w:p>
      <w:r>
        <w:t>Bundesverwaltungsgericht, 2010-05-10, DE</w:t>
      </w:r>
    </w:p>
    <w:p>
      <w:r>
        <w:rPr>
          <w:b/>
        </w:rPr>
        <w:t xml:space="preserve">Quelle: </w:t>
      </w:r>
      <w:r>
        <w:t>https://mcp.opencaselaw.ch/entscheid/bvger_C-457_2009</w:t>
      </w:r>
    </w:p>
    <w:p>
      <w:r>
        <w:t>FR: TAF C-457/2009 du 10 mai 2010</w:t>
      </w:r>
    </w:p>
    <w:p>
      <w:r>
        <w:t>IT: TAF C-457/2009 del 10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soweit sie durch die teilweise Wiedererwägung der Verfügung vom 22. Dezember 2008 nicht gegenstandslos geworden ist (Art. 50 und 52 VwVG, vgl. unten Erw. 2).</w:t>
      </w:r>
    </w:p>
    <w:p>
      <w:r>
        <w:rPr>
          <w:b/>
        </w:rPr>
        <w:t>E. 1.4</w:t>
      </w:r>
    </w:p>
    <w:p>
      <w:r>
        <w:t>Das Bundesverwaltungsgericht entscheidet endgültig (Art 83 Bst. c Ziff. 1 des Bundesgerichtsgesetzes vom 17. Juni 2005 [BGG, SR 173.110]).</w:t>
      </w:r>
    </w:p>
    <w:p>
      <w:r>
        <w:rPr>
          <w:b/>
        </w:rPr>
        <w:t>E. 2</w:t>
      </w:r>
    </w:p>
    <w:p>
      <w:r>
        <w:t>Die Vorinstanz hat ihre ursprüngliche Verfügung am 31. März 2009 teilweise in Wiedererwägung gezogen (Herabsetzung der Dauer der Einreisesperre auf zwei Jahre). Gemäss Art. 58 Abs. 3 VwVG setzt die Beschwerdeinstanz die Behandlung der Beschwerde fort, soweit sie durch die neue Verfügung der Vorinstanz nicht gegenstandslos geworden ist (vgl. BGE 126 III 85 E. 3 S. 88 f.).</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4.1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Der vorliegende Sachverhalt ereignete sich unter neuem Recht, womit die Streitsache auch dem neuen Recht unterliegt.</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ANAG. Es soll künftigen Störungen der öffentlichen Sicherheit und Ordnung vorbeugen, nicht aber ein bestimmtes Verhalten sanktionieren und hat somit keinen Straf-, sondern Massnahmencharakter (Botschaft zum Bundesgesetz über die Ausländerinnen und Ausländer vom 8. März 2002, BBl 2002 3813). Die öffentliche Sicherheit und Ordnung umfasst neben anderen polizeilichen Schutzgütern die Unverletzlichkeit der objektiven Rechtsordnung; deren Verletzung ist namentlich gegeben bei erheblichen oder wiederholten Verstössen gegen gesetzliche Vorschriften oder behördliche Verfügungen sowie bei Nichterfüllung der öffentlich-rechtlichen oder privatrechtlichen Verpflichtungen (BBl 2002 3809; vgl. auch RAINER J. SCHWEIZER / PATRICK SUTTER / NINA WIDMER, in: RAINER J. SCHWEIZER [Hrsg.], Sicherheits- und Ordnungsrecht des Bundes, SBVR Bd. III/1, Basel 2008, Teil B, Rz. 13 mit Hinweisen).</w:t>
      </w:r>
    </w:p>
    <w:p>
      <w:r>
        <w:rPr>
          <w:b/>
        </w:rPr>
        <w:t>E. 5.2</w:t>
      </w:r>
    </w:p>
    <w:p>
      <w:r>
        <w:t>Das Einreiseverbot kann nach Art. 67 Abs. 1 AuG vom BFM über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Es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5.2.1</w:t>
      </w:r>
    </w:p>
    <w:p>
      <w:r>
        <w:t>Mit Strafbefehl vom 16. Juni 2009 sprach die Staatsanwaltschaft II des Kantons Uri den Beschwerdeführer wegen Zuwiderhandlung gegen das Ausländergesetz sowie Zuwiderhandlung gegen das Gastwirtschaftsgesetz begangen am 15./20. November 2008 für schuldig. Der Beschwerdeführer übte - ohne im Besitz einer entsprechenden Bewilligung zu sein - wiederholt eine Erwerbstätigkeit in der Schweiz aus (Schwarzarbeit) und gab trotz Kenntnis der gesetzlichen Bestimmungen unkontrolliert Alkohol an Jugendliche ab. Aufgrund der Zuwiderhandlung gegen ausländerrechtliche Bestimmungen hat der Beschwerdeführer gemäss Art. 67 Abs. 1 Bst. a AuG gegen die öffentliche Sicherheit und Ordnung in der Schweiz verstossen und hierdurch die objektive Rechtsordnung mehrmals verletzt.</w:t>
      </w:r>
    </w:p>
    <w:p>
      <w:r>
        <w:rPr>
          <w:b/>
        </w:rPr>
        <w:t>E. 5.2.2</w:t>
      </w:r>
    </w:p>
    <w:p>
      <w:r>
        <w:t>Neben der (bereits eingetretenen) Verletzung nennt Art. 67 Abs. 1 Bst. a AuG auch den Tatbestand der Gefährdung der öffentlichen Sicherheit und Ordnung. Gemäss Auskunft des deutschen Bundeszentralregisters wurde der Beschwerdeführer am 28. September 2005 in Mainz (Deutschland) wegen unerlaubten Erwerbs von Betäubungsmitteln zu einer Geldstrafe von 40 Tagessätzen à EUR 10 verurteilt, was er gegenüber der kantonalen Migrationsbehörde vorsätzlich verschwieg (vgl. kantonale Akten). Zudem wird der Betroffene in Deutschland im Rahmen eines gegen ihn laufenden Strafverfahrens wegen Betrugs gesucht (vgl. kantonale Akten). Anlässlich des rechtlichen Gehörs zur Wegweisung bekräftigte der Beschwerdeführer seinen Willen, sich nach der Ausreise aus der Schweiz den deutschen Strafverfolgungsbehörden zu stellen. Entgegen seiner Beteuerung kehrte er jedoch via Italien direkt in sein Heimatland zurück (vgl. Ausreisemeldung vom 25. November 2008, abgestempelt durch den Grenzposten Chiasso), wo er sich wohl derzeit auch aufhalten mag. Im Übrigen behauptete der Beschwerdeführer gegenüber der zuständigen Migrationsbehörde, er verfüge über eine unbefristete Niederlassungserlaubnis für Deutschland, was sich aber im späteren Verlauf der Ermittlungen als zweifelhaft erwies - der Betroffene verfügt in seinem neuen Reisepass (ausgestellt im Januar 2008) über keine Niederlassungserlaubnis mehr, denn jene ist lediglich im alten, abgelaufenen Reisepass vorhanden.</w:t>
      </w:r>
    </w:p>
    <w:p>
      <w:r>
        <w:rPr>
          <w:b/>
        </w:rPr>
        <w:t>E. 5.2.3</w:t>
      </w:r>
    </w:p>
    <w:p>
      <w:r>
        <w:t>Sowohl mit der Verurteilung wegen Erwerbstätigkeit ohne Bewilligung (Schwarzarbeit) als auch aufgrund des in Deutschland hängigen Strafverfahrens wegen Betrugs (Ausschreibung) sowie der strafrechtlich rechtskräftigen Verurteilung wegen unerlaubten Erwerbs von Betäubungsmitteln vom 28. September 2005 erfüllt der Beschwerdeführer die in Bst. a des Art. 67 Abs. 1 AuG erwähnten Tatbestände. Sein Verhalten lässt darauf schliessen, dass er auch in näherer Zukunft keine Gewähr für ein Respektieren der schweizerischen Rechtsordnung bieten kann.</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6.1</w:t>
      </w:r>
    </w:p>
    <w:p>
      <w:r>
        <w:t>Wie dargelegt hat der Beschwerdeführer in grober Weise ausländerrechtliche Bestimmungen verletzt und bei der Einvernahme der zuständigen Behörde wesentliche Tatsachen vorsätzlich verschwiegen bzw. unwahr dargestellt. Das generalpräventiv motivierte öffentliche Interesse, die ausländerrechtliche Ordnung durch eine konsequente Massnahmenpraxis gegenüber Ausländerinnen und Ausländern zu schützen, ist somit als erheblich einzustufen.</w:t>
      </w:r>
    </w:p>
    <w:p>
      <w:r>
        <w:rPr>
          <w:b/>
        </w:rPr>
        <w:t>E. 6.2</w:t>
      </w:r>
    </w:p>
    <w:p>
      <w:r>
        <w:t>Persönliche Interessen macht der Beschwerdeführer insofern geltend, als er sinngemäss angibt, seine in der Schweiz lebende Partnerin und zukünftige Ehefrau M._______ sei krank und auf seine Unterstützung angewiesen, weshalb er sie auch in der Schweiz besucht und ihr in ihrem Gastwirtschaftsbetrieb ausgeholfen habe. Diese vom Beschwerdeführer geschilderten privaten Interessen sind jedoch nicht ausschlaggebender Natur und machen folglich seine Anwesenheit in der Schweiz nicht zwingend notwendig. Es handelt sich vorliegend um keine familiäre Beziehung, die unter den Schutzbereich von Art. 8 Ziff. 1 der Konvention vom 4. November 1950 zum Schutze der Menschenrechte und Grundfreiheiten (EMRK, SR 0.101.0) und Art. 13 Abs. 1 der Bundesverfassung der Schweizerischen Eidgenossenschaft vom 18. April 1999 (BV, SR 101) fällt - Bestimmungen, welche beide dem Schutz eines von staatlichen Eingriffen ungestörten Privat- und Familienlebens dienen und im Ausländerrecht identische Ansprüche vermitteln (BGE 129 II 215 E. 4.2 S. 218 f.).</w:t>
      </w:r>
    </w:p>
    <w:p>
      <w:r>
        <w:rPr>
          <w:b/>
        </w:rPr>
        <w:t>E. 6.3</w:t>
      </w:r>
    </w:p>
    <w:p>
      <w:r>
        <w:t>Im Übrigen würde eine Aufhebung des Einreiseverbotes einzig bewirken, dass der Beschwerdeführer den allgemeinen, für kroatische Staatsangehörige geltenden Einreisebestimmungen unterstünde (vgl. Art. 4 Abs. 2 der Verordnung vom 22. Oktober 2008 über die Einreise und die Visumerteilung [VEV, SR 142.204] mit Verweis auf die Verordnung [EG] Nr. 539/2001 des Rates vom 15. März 2001, welche im Anhang II eine Liste von Drittländern enthält - darunter auch Kroatien -, dessen Staatsangehörige im Hinblick auf die Ausübung einer Erwerbstätigkeit innerhalb des Schengenraumes im Besitze eines Visums sein müssen). Der Beschwerdeführer könnte somit nicht bewilligungsfrei in die Schweiz einreisen, um als Arbeitskraft seine Freundin im Gastgewerbebetrieb zu unterstützen, sondern wäre lediglich während maximal 90 Tagen zum visumsfreien Besuchsaufenthalt in der Schweiz berechtigt. Weiter ist in diesem Zusammenhang darauf hinzuweisen, dass ihm die Einreise nicht generell verwehrt ist. Sollte sich eine Anwesenheit in der Schweiz als zwingend notwendig erweisen, steht ihm vielmehr die Möglichkeit offen, aus wichtigen Gründen mittels begründetem Gesuch die zeitweilige Suspension der angeordneten Fernhaltemassnahme (Art. 67 Abs. 4 AuG; zum Ganzen vgl. beispielsweise die Urteile des Bundesverwaltungsgerichts C-8211/ 2007 vom 16. Mai 2008 E. 6.3 und C-137/2006 vom 31. März 2008 E. 6.4) sowie ein in diesem Zusammenhang erforderliches Visum zu beantragen.</w:t>
      </w:r>
    </w:p>
    <w:p>
      <w:r>
        <w:rPr>
          <w:b/>
        </w:rPr>
        <w:t>E. 6.4</w:t>
      </w:r>
    </w:p>
    <w:p>
      <w:r>
        <w:t>Eine wertende Gewichtung der sich entgegenstehenden öffentlichen und privaten Interessen führt das Bundesverwaltungsgericht zum Schluss, dass das im Vernehmlassungsverfahren auf zwei Jahre befristete Einreiseverbot eine verhältnismässige und angemessene Massnahme zum Schutz der öffentlichen Sicherheit und Ordnung darstellt.</w:t>
      </w:r>
    </w:p>
    <w:p>
      <w:r>
        <w:rPr>
          <w:b/>
        </w:rPr>
        <w:t>E. 7</w:t>
      </w:r>
    </w:p>
    <w:p>
      <w:r>
        <w:t>Zusammenfassend ergibt sich, dass die angefochtene Verfügung, nachdem das Bundesamt sie in Wiedererwägung zog, im Lichte von Art. 49 VwVG nicht zu beanstanden ist. Die Beschwerde ist deshalb abzuweisen, soweit sie nicht gegenstandslos geworden ist.</w:t>
      </w:r>
    </w:p>
    <w:p>
      <w:r>
        <w:rPr>
          <w:b/>
        </w:rPr>
        <w:t>E. 8</w:t>
      </w:r>
    </w:p>
    <w:p>
      <w:r>
        <w:t>Bei diesem Ausgang des Verfahrens, das einem teilweisen Unterliegen gleichkommt, sind dem Beschwerdeführer nur reduzierte Verfahrenskosten aufzuerlegen (Art. 63 Abs. 1 zweiter Satz VwVG). Dementsprechend ist ihm auch eine gekürzte Parteientschädigung zuzusprechen (Art. 64 Abs. 1 VwVG i.V.m. Art 7 Abs. 2 des Reglements vom 21. Februar 2008 über die Kosten und Entschädigungen vor dem Bundesverwaltungsgericht [VGKE, SR 173.320.2]). Diese ist in Anwendung von Art. 8 ff. sowie Art. 14 Abs. 2 VGKE auf Fr. 300.- (inkl.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