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C-4577/2014 vom 26. Februar 2015</w:t>
      </w:r>
    </w:p>
    <w:p>
      <w:r>
        <w:t>Bundesverwaltungsgericht, 2015-02-26, FR</w:t>
      </w:r>
    </w:p>
    <w:p>
      <w:r>
        <w:rPr>
          <w:b/>
        </w:rPr>
        <w:t xml:space="preserve">Quelle: </w:t>
      </w:r>
      <w:r>
        <w:t>https://mcp.opencaselaw.ch/entscheid/bvger_C-4577_2014</w:t>
      </w:r>
    </w:p>
    <w:p>
      <w:r>
        <w:t>FR: TAF C-4577/2014 du 26 février 2015</w:t>
      </w:r>
    </w:p>
    <w:p>
      <w:r>
        <w:t>IT: TAF C-4577/2014 del 26 febbraio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qui ont pris part à la procédure devant l'autorité inférieure, ont qualité pour recourir (art. 48 al. 1 PA). Présenté dans la forme et les délais prescrits par la loi, le recours est recevable (art. 50 et 52 PA).</w:t>
      </w:r>
    </w:p>
    <w:p>
      <w:r>
        <w:rPr>
          <w:b/>
        </w:rPr>
        <w:t>E. 1.4</w:t>
      </w:r>
    </w:p>
    <w:p>
      <w:r>
        <w:t>L'objet du litige consiste à déterminer s'il y a lieu d'octroyer un visa Schengen en faveur de C._______ du 1er mai 2014 au 12 juin 2014, subsidiairement du 1er mars 2015 au 31 [recte 30] avril 2015, comme les recourants le requièrent. Le Tribunal procèdera dès lors à un rappel des règles légales pertinentes (consid. 3) avant d'en tirer les conclusions qui s'imposent dans le cas d'espèce (consid. 4).</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 (cf. notamment ATAF 2007/41 consid. 2). Dans son arrêt, il prend en considération l'état de fait existant au moment où il statue (cf. ATAF 2014/1 consid. 2, et jurisprudence citée).</w:t>
      </w:r>
    </w:p>
    <w:p>
      <w:r>
        <w:rPr>
          <w:b/>
        </w:rPr>
        <w:t>E. 3.1</w:t>
      </w:r>
    </w:p>
    <w:p>
      <w:r>
        <w:t>A titre préalable, il convient de relever que 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l'arrêt du TAF C-5953/2013 du 26 juin 2014 consid. 3, et la jurisprudence citée).</w:t>
      </w:r>
    </w:p>
    <w:p>
      <w:r>
        <w:rPr>
          <w:b/>
        </w:rPr>
        <w:t>E. 3.2.1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 voir également ATF 135 II 1 consid. 1.1 ; ATAF 2014/1 consid. 4.1.1 ; 2011/48 consid. 4.1 ;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2011/48 consid. 4.1).</w:t>
      </w:r>
    </w:p>
    <w:p>
      <w:r>
        <w:rPr>
          <w:b/>
        </w:rPr>
        <w:t>E. 3.2.2</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3.3.1</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précité,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 arrêt du TAF C-5953/2013 consid. 4.2), à savoir, le requérant doit, selon premier alinéa,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et, selon le deuxième alinéa, apporter la garantie qu'il quittera la Suisse.</w:t>
      </w:r>
    </w:p>
    <w:p>
      <w:r>
        <w:rPr>
          <w:b/>
        </w:rPr>
        <w:t>E. 3.3.2</w:t>
      </w:r>
    </w:p>
    <w:p>
      <w:r>
        <w:t>Cela est d'ailleurs corroboré par le Règlement (CE) no 810/2009 du Parlement européen et du Conseil du 13 juillet 2009 établissant un code communautaire des visas (code des visas [JO L 243 du 15 septembre 2009], modifié par l'art. 6 du Règlement (UE) no 610/2013 précité),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3.3.3</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3.3.4</w:t>
      </w:r>
    </w:p>
    <w:p>
      <w:r>
        <w:t>Le Règlement (CE) no 539/2001 du Conseil du 15 mars 2001 (JO L 81 du 21 mars 2001, p. 1-7) différencie, en son art. 1 par. 1 et 2, les ressortissants des Etats tiers selon qu'ils sont soumis ou non à l'obligation du visa.</w:t>
      </w:r>
    </w:p>
    <w:p>
      <w:r>
        <w:rPr>
          <w:b/>
        </w:rPr>
        <w:t>E. 3.3.5</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Ainsi,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la réf. 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(sur les points qui précèdent, cf. notamment les arrêts du TAF C-1230/2013 du 6 mai 2014 consid. 5.3, et C-548/2013 du 4 février 2014 consid. 5.1).</w:t>
      </w:r>
    </w:p>
    <w:p>
      <w:r>
        <w:rPr>
          <w:b/>
        </w:rPr>
        <w:t>E. 4</w:t>
      </w:r>
    </w:p>
    <w:p>
      <w:r>
        <w:t>En l'espèce, il y aura lieu - dans un premier temps - d'examiner si C._______ est soumise à l'obligation d'obtenir un visa (consid. 4.1), avant de déterminer si celui-ci peut lui être octroyé (consid. 4.2).</w:t>
      </w:r>
    </w:p>
    <w:p>
      <w:r>
        <w:rPr>
          <w:b/>
        </w:rPr>
        <w:t>E. 4.1</w:t>
      </w:r>
    </w:p>
    <w:p>
      <w:r>
        <w:t>Du fait qu'elle est ressortissante de la République d'Equateur, C._______ est soumise à l'obligation du visa au sens de l'art. 1 par. 2 du règlement (CE) n° 539/2001 susmentionné, en lien avec les annexes I et II dudit règlement (cf. consid. 3.3.4 ci-dessus).</w:t>
      </w:r>
    </w:p>
    <w:p>
      <w:r>
        <w:rPr>
          <w:b/>
        </w:rPr>
        <w:t>E. 4.2</w:t>
      </w:r>
    </w:p>
    <w:p>
      <w:r>
        <w:t>Cela étant, il sied d'examiner si l'intéressée remplit les conditions de l'art. 5 du Code frontières Schengen, lesquelles correspondent pour l'essentiel à celles posées par l'art. 5 LEtr. Comme l'autorité inférieure s'est toutefois dispensée d'examiner l'intégralité de ces conditions - dès lors qu'elle estimait que la requérante n'avait pas apporté la garantie qu'elle quitterait la Suisse à l'issue de la durée de validité du visa, ce qui suffisait déjà à justifier le refus querellé - le Tribunal s'attachera dans un premier temps à examiner si cette garantie a été niée à juste titre. Il convient donc, en l'espèce, d'examiner si la situation politique ou économique en Equateur et la situation personnelle, familiale, patrimoniale et professionnelle de C._______ plaident en faveur de sa sortie ponctuelle respectivement de Suisse et de l'Espace Schengen, au terme du séjour envisagé.</w:t>
      </w:r>
    </w:p>
    <w:p>
      <w:r>
        <w:rPr>
          <w:b/>
        </w:rPr>
        <w:t>E. 4.2.1</w:t>
      </w:r>
    </w:p>
    <w:p>
      <w:r>
        <w:t>Compte tenu de la qualité de vie et des conditions économiques et sociales difficiles que connaît l'ensemble de la population de l'Equateur, le Tribunal ne saurait d'emblée écarter les craintes émises par le SEM quant à une éventuelle prolongation du séjour de l'intéressée au-delà de la durée de validité du visa sollicité. En effet, le produit intérieur brut (PIB) par habitant en Equateur est estimé à USD 4'616.- en 2014, soit à un niveau notablement inférieur à celui de la Suisse (CHF 78'539.- en 2013). L'économie équatorienne croît régulièrement depuis 2003, à l'exception d'une crise en 2009 et 2010 (pour plus détail, cf. notamment arrêt du TAF C-1280/2011 du 25 mai 2012 consid. 6.4). La forte croissance de l'économie qui s'est amorcée depuis les années 2000 ne saurait faire oublier que dite économie est fortement dépendante des recettes pétrolières et donc des cours mondiaux du pétrole (40 % des revenus de l'Etat et 60 % des exportations), actuellement au plus bas. Sur le plan social, malgré un taux de chômage officiel de 4.15 % de la population active, inférieur à celui de la zone euro, l'Equateur conserve un taux de pauvreté élevé, à 27.3 % de la population, principalement dans les zones rurales et auprès des populations indigènes (sources : site internet du Département fédéral des affaires étrangères, www.eda.admin.ch &gt; Informations sur les pays et pour les voyageurs &gt; Equateur &gt; Equateur en bref, consulté en février 2015 ; site internet de l'Office fédéral de la statistique, www.bfs.admin.ch &gt; Thèmes &gt; 04 - Economie nationale &gt; Comptes nationaux &gt; Produit intérieur brut &gt; PIB par habitant, consulté en février 2015 ; site internet du Ministère des affaires étrangères et européennes de la République française, www.diplomatie.gouv.fr &gt; dossier pays &gt; Equateur &gt; Présentation, consulté en février 2015). Or, l'existence de telles disparités entre l'Equateur et la Suisse n'est pas sans exercer une pression migratoire importante, une tendance qui est encore renforcée - comme l'expérience l'a démontré - lorsque la personne invitée peut s'appuyer à l'étranger sur un réseau familial et/ou social préexistant, ce qui est le cas en l'espèce, eu égard à la présence en Suisse du père de la requérante, de sa belle-mère et de son demi-frère.</w:t>
      </w:r>
    </w:p>
    <w:p>
      <w:r>
        <w:rPr>
          <w:b/>
        </w:rPr>
        <w:t>E. 4.2.2</w:t>
      </w:r>
    </w:p>
    <w:p>
      <w:r>
        <w:t>Cela étant, l'autorité ne saurait se fonder sur la seule situation prévalant dans le pays de provenance de C._______ pour conclure à l'absence de garantie quant à sa sortie de Suisse, mais doit également prendre en considération les particularités du cas d'espèce (cf. ATAF 2009/27 précité, consid. 7 et 8). La prénommée vit auprès de sa mère et de ses frères en Equateur (cf. recours p. 8, décision querellée p. 4), bénéfice du soutien financier de son père B._______ résidant en Suisse (cf. recours p. 4 et 8) et suit actuellement des cours en deuxième année de bachillerato - à savoir l'école préparatoire aux études supérieures - à l'Unidad Educativa Fiscomisional "Pierre Teilhard de Chardin" d'Atacames, province d'Esmeraldas. Bien qu'elle soit jeune, il ressort du dossier que l'intéressée a vécu toute sa vie en Equateur, qu'elle y suit encore sa scolarité - dont les frais pour l'année 2014-2015 avaient déjà été payés au moment de la demande -, qu'elle possède la totalité de son réseau social (à savoir sa mère, sa fratrie et son cercle d'amis) en Equateur, à l'exception de son père, sa belle-mère et son demi-frère vivant en Suisse, et qu'elle n'a jamais quitté son pays auparavant. L'intéressée a donc bien des attaches importantes dans son pays, ce qui plaide en faveur de la thèse d'un retour dans celui-ci à l'échéance du visa sollicité. Quant à l'argument du SEM, selon lequel le visa demandé - initialement du 6 avril 2014 au 6 juin 2014 - portait en partie sur une période correspondant au début d'une année scolaire, ce qui plaidait en défaveur d'un retour en Equateur à l'échéance de ce visa, il ne convainc pas le Tribunal de céans. Certes, il apparaît que l'intéressée devait reprendre l'école le 5 mai 2014, de sorte que - si le visa lui avait été octroyé pour cette période - elle aurait manqué près d'un mois d'instruction (source : site internet du Ministère de l'éducation de la République d'Equateur, http://educacion.gob.ec/calendario-escolar, site consulté en février 2015). Cela étant, les recourants avaient fait des démarches auprès de l'école de l'intéressée pour obtenir une autorisation limitée dans le temps de s'absenter (en prolongation des vacances scolaires) jusqu'au 15 juin 2014 et ont payé les frais de scolarité pour l'année 2014-2015, démontrant par là leur intention de voir l'intéressée poursuivre le cursus scolaire commencé, même si elle manquait le premier mois de cours dès la rentrée scolaire. En outre, les recourants avaient conclu une assurance qui correspond à la période de visa initialement sollicité et avaient acheté un billet d'avion retour pour le 6 juin 2014. Partant, sur la base de ces éléments, il n'y a pas lieu d'être défiant quant à la volonté de l'intéressée de reprendre sa scolarité en Equateur à l'issue du visa sollicité, respectivement quant à la volonté des recourants de voir celle-ci réintégrer son pays à l'issue de ses vacances. Ceci vaut désormais d'autant plus que, dans les conclusions de leur recours, les recourant demandent l'octroi d'un visa allant du 1er mars 2015 au 30 avril 2015. Selon les sources d'information susmentionnées, les vacances scolaires de l'intéressée vont du 1er mars 2015 au 3 mai 2015, de telle sorte que la période du visa requis couvre cette fois-ci l'entier des vacances de l'intéressée et n'empiète pas sur la reprise des cours. Enfin, le Tribunal relève que la requérante commencera sa troisième et dernière année de bachillerato, et que les recourants semblent avoir à coeur d'offrir une formation de qualité et complète à la requérante. Enfin, la durée et les motifs de la venue en Suisse de l'intéressée paraissent en adéquation avec sa situation personnelle. Somme toute, le Tribunal ne voit guère dans la situation personnelle de l'intéressée de motif de mettre en doute sa volonté de retourner en Equateur à l'issue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w:t>
      </w:r>
    </w:p>
    <w:p>
      <w:r>
        <w:rPr>
          <w:b/>
        </w:rPr>
        <w:t>E. 4.2.3</w:t>
      </w:r>
    </w:p>
    <w:p>
      <w:r>
        <w:t>En conséquence, eu égard aux liens familiaux et sociaux qui lient la requérante à son pays, à la situation matérielle qui est la sienne, ainsi qu'au fait qu'elle est en cours de scolarité, le Tribunal est amené à considérer - en dépit de la situation générale en Equateur - que son retour dans ce pays à l'échéance du visa requis peut être tenu, avec un haut degré de probabilité, pour garanti. Cela étant, cette condition peut être considérée comme remplie.</w:t>
      </w:r>
    </w:p>
    <w:p>
      <w:r>
        <w:rPr>
          <w:b/>
        </w:rPr>
        <w:t>E. 4.2.4</w:t>
      </w:r>
    </w:p>
    <w:p>
      <w:r>
        <w:t>Il demeure à examiner les autres conditions régissant l'octroi d'un visa Schengen (cf. consid. 3.3 ci-avant). S'agissant de la condition tenant au fait que l'intéressée dispose des moyens financiers nécessaires à son séjour, elle ne pose guère problème au vu des garanties financières offertes par les recourants. L'autorité inférieure ne le conteste d'ailleurs pas.</w:t>
      </w:r>
    </w:p>
    <w:p>
      <w:r>
        <w:rPr>
          <w:b/>
        </w:rPr>
        <w:t>E. 4.2.5</w:t>
      </w:r>
    </w:p>
    <w:p>
      <w:r>
        <w:t>S'agissant des autres conditions posées par le code frontières Schengen, respectivement par l'art. 5 LEtr, le Tribunal de céans ne dispose pas des renseignements pertinents pour se prononcer. En conséquence, le recours doit être admis au sens des considérants, la décision attaquée annulée et la cause renvoyée pour nouvel examen à l'ODM, lequel devra déterminer si l'intéressée remplit les autres conditions d'entrée posées par le code frontières Schengen - auquel cas il lui délivrera un visa uniforme - ou, à défaut, s'il convient de lui octroyer un visa à validité territoriale limitée en application de l'art. 2 al. 4 OEV. 4.3 Les considérations qui précèdent dispensent d'examiner s'il y aurait lieu d'octroyer un visa au surplus sur la base de l'art. 8 CEDH. Tout au plus peut-il être observé à ce sujet qu'il existe certainement une relation affective et économique étroite entre le père recourant et sa fille, sur la base des moyens de preuve produits dans le cadre de la procédure de recours, de sorte que l'application de cette disposition ne saurait d'emblée être niée ; encore faudrait-il voir si un refus de visa constituerait une ingérence inadmissible dans l'exercice au droit au respect de la vie privée et familiale (cf. arrêt du TAF C-4852/2011 du 20 mars 2013 consid. 7.2.1 et les références citées). Un tel examen s'avère toutefois superflu dans le cas d'espèce, le recours étant déjà admis sur la base d'autres dispositions.</w:t>
      </w:r>
    </w:p>
    <w:p>
      <w:r>
        <w:rPr>
          <w:b/>
        </w:rPr>
        <w:t>E. 5.1</w:t>
      </w:r>
    </w:p>
    <w:p>
      <w:r>
        <w:t>Concernant les frais de procédure, selon l'art. 63 al. 1 PA, ceux-ci comprennent l'émolument d'arrêté, les émoluments de chancellerie et les débours, et sont mis, dans le dispositif, à la charge de la partie qui succombe. Toutefois, au sens de l'art. 63 al. 2 PA, aucun frais de procédure n'est mis à la charge des autorités inférieures, ni des autorités fédérales recourantes et déboutées. Vu l'issue du recours, les recourants n'ont pas à supporter de frais de procédure. Il en est de même de l'autorité inférieure.</w:t>
      </w:r>
    </w:p>
    <w:p>
      <w:r>
        <w:rPr>
          <w:b/>
        </w:rPr>
        <w:t>E. 5.2</w:t>
      </w:r>
    </w:p>
    <w:p>
      <w:r>
        <w:t>Quant aux dépens, l'autorité de recours peut allouer, d'office ou sur requête, à la partie ayant entièrement ou partiellement gain de cause une indemnité pour les frais indispensables et relativement élevés qui lui ont été occasionnés (art. 64 al. 1 PA). Les parties qui ont droit aux dépens et les avocats commis d'office doivent faire parvenir avant le prononcé un décompte de leurs prestations au tribunal. A défaut de décompte, le tribunal fixe l'indemnité sur la base du dossier (art. 14 du règlement du 21 février 2008 concernant les frais, dépens et indemnités fixés par le Tribunal administratif fédéral [FITAF, RS 173.320.2]). En l'occurrence, il apparaît que les recourants ne sont pas représentés, de sorte qu'ils ne peuvent revendiquer le remboursement e frais de représentation (art. 64 al. 1 PA en relation avec les art. 8 à 11 FITAF) et qu'ils n'ont pas démontré avoir assumé de frais relativement élevés en relation avec la défense de la cause au sens de l'art. 64 al. 1 PA en relation avec l'art. 7 al. 4 FITAF, de sorte qu'ils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