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C-4570/2009 vom 10. Mai 2010</w:t>
      </w:r>
    </w:p>
    <w:p>
      <w:r>
        <w:t>Bundesverwaltungsgericht, 2010-05-10, DE</w:t>
      </w:r>
    </w:p>
    <w:p>
      <w:r>
        <w:rPr>
          <w:b/>
        </w:rPr>
        <w:t xml:space="preserve">Quelle: </w:t>
      </w:r>
      <w:r>
        <w:t>https://mcp.opencaselaw.ch/entscheid/bvger_C-4570_2009</w:t>
      </w:r>
    </w:p>
    <w:p>
      <w:r>
        <w:t>FR: TAF C-4570/2009 du 10 mai 2010</w:t>
      </w:r>
    </w:p>
    <w:p>
      <w:r>
        <w:t>IT: TAF C-4570/2009 del 10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legitimiert. Auf die frist- und formgerechte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die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zum Ganzen BVGE 2009/27 E. 5).</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Besitze eines Visums sein müssen. Sri Lanka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Wirtschaft Sri Lankas ist im Jahr 2008 real um 6,0% gewachsen. Das Pro-Kopf-Einkommen betrug 2'014 USD, das Bruttoinlandprodukt (BIP) 40,7 Mrd. USD. Ein Problem für die weitere wirtschaftliche Entwicklung des Landes ist die Inflation, die 2008 eine Rekordhöhe von durchschnittlich 22,6% erreichte. Die Preissteigerung hat sich in der Folge zwar deutlich abgeschwächt (2009 3,4%), lässt zuletzt aber eine leichte Aufwärtstendenz erkennen (Februar 2010 im Vergleich zum Vorjahresmonat 6,9%, März 6,3%). Die Auswirkungen der globalen Wirtschafts- und Finanzkrise führten in Sri Lanka Ende 2008/Anfang 2009 zu einem rapiden Rückgang der Devisenreserven; hatten sie im September 2008 noch bei 3,4 Mrd. USD gelegen, betrugen sie Ende März 2009 noch 1,2 Mrd. USD. Regierung und Zentralbank sahen sich daher veranlasst, beim Internationalen Währungsfonds (IWF) einen Kredit zu beantragen, der im Juli 2009 gewährt wurde. Unter den Bedingungen, die vom IWF mit der Regierung zur Verbesserung der Zahlungsbilanz vereinbart wurden, war auch die Massgrösse für das Haushaltsdefizit 2009 von 7,0% des BIP. Dieses Ziel konnte nicht erreicht werden. Die Regierung hat ein Defizit von 9,7% des BIP bekannt gegeben (Quelle: Auswärtiges Amt, &lt;http://www.auswaertiges-amt.de&gt;, Länder, Reisen und Sicherheit &gt; Sri Lanka &gt; Wirtschaft, Stand April 2010). Zu den vordringlichsten innenpolitischen Aufgaben der Regierung gehört die Fürsorge für die rund 300'000 Binnenvertriebenen, die in den letzten Monaten des Bürgerkriegs im kontinuierlich schrumpfenden Kampfgebiet eingeschlossen waren und nach dem Ende der Kämpfe (Mai 2009) von der Armee in zunächst geschlossenen Lagern untergebracht wurden. Viele sind weiterhin in mittlerweile offenen Lagern oder bei Gastfamilien untergebracht und konnten noch nicht an ihre Heimatorte zurückkehren. Zudem hat das Ende des Bürgerkriegs, der nach letzten Schätzungen 100'000 Todesopfer forderte, die Diskussion um eine politische Lösung für den ethnischen Konflikt zwischen der singhalesischen Bevölkerungsmehrheit und der sich diskriminiert fühlenden tamilischen Minderheit wieder entfacht. Derzeit scheint eine solche Lösung jedoch noch in weiter Ferne zu liegen (Quelle: Auswärtiges Amt, a.a.O., Innenpolitik, Stand April 2010; Judith Macchi, Rainer Mattern, Schweizerische Flüchtlingshilfe, Sri Lanka: Aktuelle Situation, Update vom 7. Juli 2009).</w:t>
      </w:r>
    </w:p>
    <w:p>
      <w:r>
        <w:rPr>
          <w:b/>
        </w:rPr>
        <w:t>E. 6.4</w:t>
      </w:r>
    </w:p>
    <w:p>
      <w:r>
        <w:t>Vor diesem Hintergrund besteht erfahrungsgemäss häufig der Wunsch zur Auswanderung, welcher sich vor allem bei jüngeren und ungebundenen Menschen manifestiert. Aber auch sozial eingebundene Menschen und solche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Sri Lanka im Jahre 2009 mit 1'415 Gesuchen (+12,1% gegenüber dem Vorjahr) die drittgrösste Gruppe von Asylsuchenden stellten (vgl. kommentierte Asylstatistik 2009 des BFM, S. 3 und 10, im Internet unter: &lt;http://www.bfm.admin.ch&gt;, Themen &gt; Statistiken).</w:t>
      </w:r>
    </w:p>
    <w:p>
      <w:r>
        <w:rPr>
          <w:b/>
        </w:rPr>
        <w:t>E. 6.5</w:t>
      </w:r>
    </w:p>
    <w:p>
      <w:r>
        <w:t>Angesichts des erst vor kurzem beendeten Bürgerkriegs, der vielfältigen Probleme der tamilischen Bevölkerung in Sri Lanka und der grossen Anzahl Asylsuchender aus diesem Staat - auch aus dem Raum Colombo - ist die Beurteilung der Vorinstanz, die das Risiko einer nicht fristgerechten Wiederausreise als hoch einschätzte, grundsätzlich nicht zu beanstanden. Nun entbindet die Einschätzung der allgemeinen Situation zwar nicht von einer einzelfallbezogenen Beurteilung der persönlichen Verhältnisse. Es versteht sich aber von selbst, dass vergleichsweise hohe Anforderungen zu setzen sind, wenn es darum geht, eine besondere persönliche, familiäre oder berufliche Verwurzelung darzutun, welche das generell anzunehmende Risiko entscheidend zu relativieren vermag.</w:t>
      </w:r>
    </w:p>
    <w:p>
      <w:r>
        <w:rPr>
          <w:b/>
        </w:rPr>
        <w:t>E. 7.1</w:t>
      </w:r>
    </w:p>
    <w:p>
      <w:r>
        <w:t>Bei der Eingeladenen handelt es sich um eine 71-jährige Witwe, die keine beruflichen Verpflichtungen mehr wahrzunehmen hat. Zwar sollen, ebenfalls in Colombo, noch weitere Familienangehörige leben (u.a. ein Sohn, welcher als Arzt tätig sei). Irgendwelche Indizien für das Bestehen eines Abhängigkeitsverhältnisses bzw. eines besonderen Betreuungsbedarfs, der in Bezug auf dort lebende Familienangehörige durch die Gesuchstellerin selbst abgedeckt werden könnte, sind aus den Akten nicht ersichtlich und werden von den Beschwerdeführern auch nicht geltend gemacht. Gegen ein eigentliches Abhängigkeitsverhältnis spricht nur schon der Umstand, dass sich die Eingeladene ohne zwingenden Grund gleich für volle drei Monate ins Ausland begeben möchte. Tritt hinzu, dass in Situationen angespannter wirtschaftlicher und/oder politischer Verhältnisse selbst zurückbleibende nahe Angehörige regelmässig nicht verlässlich davon abhalten können, den Entscheid für eine Emigration zu fällen. Andererseits verfügt die Eingeladene mit ihrer hier lebenden Tochter, dem Schwiegersohn sowie dem Enkelkind über engste Bezugspersonen in der Schweiz. Vor diesem Hintergrund müssen die Beteuerungen auf Beschwerdeebene, die Gesuchstellerin werde wegen der familiären und freundschaftlichen Beziehungen in der Heimat die Schweiz nach ihrem Besuchsaufenthalt wieder verlassen, als nicht ausschlaggebend bezeichnet werden.</w:t>
      </w:r>
    </w:p>
    <w:p>
      <w:r>
        <w:rPr>
          <w:b/>
        </w:rPr>
        <w:t>E. 7.2</w:t>
      </w:r>
    </w:p>
    <w:p>
      <w:r>
        <w:t>Gemäss den vorstehenden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Ein solcher Anspruch lässt sich auch nicht aus einer im Jahre 2004 der Mutter des Beschwerdeführers bewilligten Einreise zu einem dreimonatigen Besuch ableiten. Zum einen hat sich die Sicherheitslage in Sri Lanka seit dieser Zeit wesentlich verändert. Zum anderen weist jeder Einzelfall eine ihm eigene und spezifische Konstellation auf, so dass er nicht ohne weiteres mit anderen, angeblich gleich gelagerten Fällen verglichen werden kann.</w:t>
      </w:r>
    </w:p>
    <w:p>
      <w:r>
        <w:rPr>
          <w:b/>
        </w:rPr>
        <w:t>E. 8</w:t>
      </w:r>
    </w:p>
    <w:p>
      <w:r>
        <w:t>An der obgenannten Risikoeinschätzung vermag weder der Umstand, dass die Initiative für den beabsichtigten Besuchsaufenthalt von den Beschwerdeführern ausgegangen ist - abgesehen davon, dass die Beschwerdeführer die Gesuchstellerin lediglich für einen Monat einladen wollten (vgl. Schreiben vom 1. Februar 2009 an die Gemeinde Spiez), diese dann aber um eine Einreise für einen dreimonatigen Aufenthalt ersuchte - noch der Hinweis auf die hinreichenden finanziellen Mittel und den vorhandenen Platz für die Unterbringung der Gesuchstellerin während des Aufenthaltes etwas zu ändern. Die Integrität der Beschwerdeführer in ihrer Eigenschaft als Gastgeber wird auch gar nicht in Zweifel gezogen. Indessen sind bei der Abwägung des Risikos einer nicht fristgerechten Wiederausreise nicht so sehr die Einstellung und die Absichten der Gastgeber, sondern in erster Linie das mögliche Verhalten des Gastes selbst von Bedeutung. Nur Letzterer ist in der Lage, hinreichend Gewähr für eine fristgerechte und anstandslose Wiederausreise zu bieten. Die Gastgeber können - wie dies in casu mit der Unterzeichnung des Formulars "Unterhaltsgarantie" geschehen ist -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anstelle vieler: Urteile des Bundesverwaltungsgerichts C-204/2008 vom 5. März 2009 E. 8.4 und C-2618/2008 vom 26. Februar 2009 E. 11, mit weiteren Hinweisen).</w:t>
      </w:r>
    </w:p>
    <w:p>
      <w:r>
        <w:rPr>
          <w:b/>
        </w:rPr>
        <w:t>E. 9</w:t>
      </w:r>
    </w:p>
    <w:p>
      <w:r>
        <w:t>Aus den dargelegten Gründen ist nicht zu beanstanden, dass die Vorinstanz das öffentliche Interesse sowie die Beachtung der geltenden Bestimmungen entsprechend gewichtete und der Gesuchstellerin die Einreise verweigerte. Die angefochtene Verfügung ist somit rechtmässig (Art. 49 VwVG). Die Beschwerde ist demzufolge abzuweisen.</w:t>
      </w:r>
    </w:p>
    <w:p>
      <w:r>
        <w:rPr>
          <w:b/>
        </w:rPr>
        <w:t>E. 10</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