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C-4568/2013 vom 5. Januar 2015</w:t>
      </w:r>
    </w:p>
    <w:p>
      <w:r>
        <w:t>Bundesverwaltungsgericht, 2015-01-05, IT</w:t>
      </w:r>
    </w:p>
    <w:p>
      <w:r>
        <w:rPr>
          <w:b/>
        </w:rPr>
        <w:t xml:space="preserve">Quelle: </w:t>
      </w:r>
      <w:r>
        <w:t>https://mcp.opencaselaw.ch/entscheid/bvger_C-4568_2013</w:t>
      </w:r>
    </w:p>
    <w:p>
      <w:r>
        <w:t>FR: TAF C-4568/2013 du 5 janvier 2015</w:t>
      </w:r>
    </w:p>
    <w:p>
      <w:r>
        <w:t>IT: TAF C-4568/2013 del 5 gennaio 2015</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previsti dalla legge (art. 60 e 52 PA). Il gravame è dunque ammissibile, nulla ostando all'esame di merito dello stesso.</w:t>
      </w:r>
    </w:p>
    <w:p>
      <w:r>
        <w:rPr>
          <w:b/>
        </w:rPr>
        <w:t>E. 3</w:t>
      </w:r>
    </w:p>
    <w:p>
      <w:r>
        <w:t>Oggetto del contendere è la questione a sapere se l'assicurata ha diritto ad una rendita intera di invalidità, in via subordinata una mezza rendita, al più presto dal 1° agosto 2009 (in seguito al riesame della precedente decisione dell'8 marzo 2010) o al più tardi dal 1° ottobre 2011 (a causa dell'asserito peggioramento dello stato di salute).</w:t>
      </w:r>
    </w:p>
    <w:p>
      <w:r>
        <w:rPr>
          <w:b/>
        </w:rPr>
        <w:t>E. 3.1</w:t>
      </w:r>
    </w:p>
    <w:p>
      <w:r>
        <w:t>Secondo l'amministrazione, dopo l'emissione della decisione dell'8 marzo 2010, non vi sarebbe stato alcun peggioramento dello stato di salute rispettivamente per il periodo precedente non sarebbero dati i presupposti per procedere ad un riesame, trattandosi in concreto unicamente di una valutazione diversa da parte del SAM della medesima situazione.</w:t>
      </w:r>
    </w:p>
    <w:p>
      <w:r>
        <w:rPr>
          <w:b/>
        </w:rPr>
        <w:t>E. 3.2</w:t>
      </w:r>
    </w:p>
    <w:p>
      <w:r>
        <w:t>Secondo l'assicurata invece va tenuto conto della perizia del SAM, che ha la precedenza sulle conclusioni del SMR e quindi va posta alla base della presente vertenza.</w:t>
      </w:r>
    </w:p>
    <w:p>
      <w:r>
        <w:rPr>
          <w:b/>
        </w:rPr>
        <w:t>E. 4.1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4.2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5.1</w:t>
      </w:r>
    </w:p>
    <w:p>
      <w:r>
        <w:t>Per quel che concerne il diritto interno, le modifiche disposte dalla 6a revisione della LAI, entrate in vigore il 1° gennaio 2012, sono applicabili nel caso di specie fino al 23 luglio 2013, data della decisione impugnata, pur tuttavia osservando che tali nuove norme non hanno comportato dei cambiamenti rispetto al vecchio diritto in merito alla valutazione dell'invalidità. Per il periodo precedente si applica il vecchio diritto.</w:t>
      </w:r>
    </w:p>
    <w:p>
      <w:r>
        <w:rPr>
          <w:b/>
        </w:rPr>
        <w:t>E. 5.2</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Il regolamento (CE) n. 1408/71 al quale l'ALC rinviava per il periodo precedente il 31 marzo 2012, anch'esso applicabile in concreto, conteneva una disposizione simile al suo art. 3 cpv. 1. Al riguardo va pure rilevato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6.1</w:t>
      </w:r>
    </w:p>
    <w:p>
      <w:r>
        <w:t>La parte ricorrente invoca preliminarmente alcuni vizi procedurali, segnatamente la violazione del diritto di essere sentito, una tardività contestuale fra il primo ed il secondo progetto, un'applicazione "de facto" di una "reformatio in pejus", una violazione del cosiddetto divieto di "venire contra factum proprium", in quanto il primo progetto assegna delle prestazioni ed il secondo progetto le nega, quindi la violazione del principio della buona fede e, infine, una violazione del principio della sicurezza del diritto.</w:t>
      </w:r>
    </w:p>
    <w:p>
      <w:r>
        <w:rPr>
          <w:b/>
        </w:rPr>
        <w:t>E. 6.2</w:t>
      </w:r>
    </w:p>
    <w:p>
      <w:r>
        <w:t>Il caso in esame è caratterizzato in particolare dalla circostanza che l'Ufficio AI cantonale ha emanato due progetti di decisione. Con il primo progetto, emanato il 14 settembre 2012 (doc. 116) l'Ufficio AI prevedeva il riconoscimento del diritto alla mezza rendita AI dal 1° ottobre 2011 (mese in cui l'amministrazione ha ricevuto la nuova domanda di rendita) e ciò sulla scorta di nuove indagini sanitarie e, più precisamente gli esiti della visita peritale avvenuta presso il SAM di Bellinzona nel marzo 2012 (rapporto finale del 29 marzo 2012, doc. 108), dalla quale è sostanzialmente emerso che la peritanda presentava un grado d'incapacità di lavoro in attività adeguate del 50% e sin da maggio 2008 (doc. 108-31). Con il secondo progetto (8 maggio 2013, doc. 132) l'autorità amministrativa ha riesaminato quello precedentemente emanato e ciò dopo aver sentito il parere del capo del SMR, dal cui rapporto del 29 marzo 2013 e complemento del 6 maggio successivo (doc. 127, 131) emergeva come la valutazione espressa al SAM del 29 marzo 2012 altro non era che una diverso giudizio di una situazione rimasta uguale a quella esistente nel corso della prima domanda di rendita. Ne conseguiva il mancato riconoscimento delle prestazioni richieste.</w:t>
      </w:r>
    </w:p>
    <w:p>
      <w:r>
        <w:rPr>
          <w:b/>
        </w:rPr>
        <w:t>E. 7.1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 Detto diritto, sancito dall'art. 29 cpv. 2 della Costituzione federale della Confederazione Svizzera del 18 aprile 1999 (Cost., RS 101),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Tribunale federale 4A_35/2010 del 19 maggio 2010 e 8C_321/2009 del 9 settembre 2009).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pertanto l'equità del procedimento (cfr. Adelio Scolari, Diritto ammini­strativo, Parte generale, 2002, n. 483 seg. con rinvii; Ulrich Häfelin/Walter Haller/Helen Keller, Schweizerisches Bundesstaatsrecht, 7. ed., n. 835; cfr. pure: Pierre Moor/Etienne Poltier, Droit administratif II, 3a ed., n. 2.2.7 e seg.). La procedura di preavviso (progetto di decisione) garantisce questo principio (art. 57a LAI). La PA lo prevede all'art. 30, mentre la LPGA all' art. 42 (diritto di audizione).</w:t>
      </w:r>
    </w:p>
    <w:p>
      <w:r>
        <w:rPr>
          <w:b/>
        </w:rPr>
        <w:t>E. 7.2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Tribunale federale 1C_104/2010 del 29 aprile 2010 consid. 2.1; DTF 133 I 201 consid. 2.2.1; Piermarco Zen-Ruffinen, Droit administratif, Partie générale et éléments de procédure, 2. ed., 2013, n. 358).</w:t>
      </w:r>
    </w:p>
    <w:p>
      <w:r>
        <w:rPr>
          <w:b/>
        </w:rPr>
        <w:t>E. 7.3</w:t>
      </w:r>
    </w:p>
    <w:p>
      <w:r>
        <w:t>In merito al diritto di accesso agli atti dell'incarto (cfr. DTF 132 II 485 consid. 3.2) - ovvero il diritto di accesso agli elementi probatori pertinenti figuranti nell'incarto - è sufficiente che le parti siano a conoscenza delle prove prodotte e che le stesse siano a disposizione di coloro che le richiedono (cfr. DTF 128 V 272 consid. 5b/bb in fine e DTF 112 Ia 202 consid. 2°). Detta garanzia non comprende il diritto di consultare tutto il dossier, bensì unicamente gli atti che possono avere un'incidenza sull'esito della procedura. Giusta l'art. 26 PA - che riprende per l'essenziale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pone alla base della propria decisione (cfr. DTF 132 II 485 consid. 3.2, DTF 121 I 225 consid. 2a e DTF 119 Ia 139 consid. 2b). Il diritto di accesso agli atti, comprende anche la facoltà di prendere degli appunti e, in quanto non comporti un sovraccarico di lavoro per l'autorità, d'ottenere delle fotocopie oppure di allestire personalmente le proprie copie, in quanto sia dato l'acceso agli atti medesimi (cfr. Scolari, op. cit., n. 517 con rinvii; Jean-François Aubert/Pascal Mahon, Petit Commentaire de la Constitution fédérale de la Confédération suisse du 18 avril 1999, 2003, n. 6 ad art. 29 Cost., pag. 268 con rinvii; Benoît Bovay, Procédure administrative, 2000, pag. 209 e seg.).</w:t>
      </w:r>
    </w:p>
    <w:p>
      <w:r>
        <w:rPr>
          <w:b/>
        </w:rPr>
        <w:t>E. 8.1</w:t>
      </w:r>
    </w:p>
    <w:p>
      <w:r>
        <w:t>La censura riguardante la violazione del diritto di essere sentito non risulta fondata. Dagli atti emerge infatti che in ogni stadio di procedura l'assicurata ha potuto consultare la documentazione rilevante ai fini della decisione e prendere posizione sugli atti istruttori eseguiti così come sulle decisioni e sui progetti di decisione pronunciati dall'UAI. Esaminando l'incarto, si rileva che dopo le osservazioni al primo progetto di decisione formulate dall'assicurata il 2 ottobre 2012, è seguito un accertamento giuridico della situazione fra il 23 ottobre ed il 21 dicembre 2012 (doc. 124/125); il 7 gennaio 2013 è stato interpellato il caposervizio del SMR e questi ha risposto il 29 marzo 2013; anche il SAM, in esito al parere del SMR è stato interpellato e quest'ultimo ha risposto il 25 aprile 2013 (doc. 127 e seg.). Di tutta questa fase sussiste un obbligo di informare l'assicurato e di attuare il rispetto del principio del contraddittorio, non vi è per contro un obbligo per l'Ufficio AI di informare l'assicurato di ogni atto individualmente. Basta che tutto si deponga agli atti e sia accessibile all'assicurato. Dopo la nuova annotazione del caposervizio SMR del 6 maggio 2013 è seguito il nuovo progetto di decisione dell'8 maggio. I ripetuti atti di procedura e istruttoria risultano peraltro giustificati nella misura in cui all'Ufficio AI è sorto un dubbio sulla fedefacenza e correttezza della perizia del SAM, che pareva esprimere una diversa valutazione (a livello valetudinario) di una situazione sanitaria rimasta sostanzialmente uguale rispetto alla precedente valutazione del SMR e non sembrava chinarsi sull'esistenza di un'eventuale modifica dello stato di fatto, come chiesto dall'assicurata e dalla stessa amministrazione. Va ancora aggiunto che posteriormente al primo progetto di decisione (14 settembre 2012, doc. 116) e alle prime osservazioni dell'assicurata del 2 ottobre 2012 (doc. 121) il diritto di essere sentito e gli altri principi invocati dall'assicurata sono poi stati rispettati con l'invio del secondo progetto di decisione l'8 maggio 2013 (doc. 132). In questa fase la nominata ha infatti avuto la possibilità di consultare l'incarto, di rendersi conto dei motivi per i quali l'Ufficio AI era tornato sul precedente parere, di chiedere qualunque informazione e di presentare le proprie osservazioni, ciò che ha fatto il 1° giugno 2013. Anche da questo punto di vista il diritto di essere sentito è stato completamente rispettato.</w:t>
      </w:r>
    </w:p>
    <w:p>
      <w:r>
        <w:rPr>
          <w:b/>
        </w:rPr>
        <w:t>E. 8.2</w:t>
      </w:r>
    </w:p>
    <w:p>
      <w:r>
        <w:t>Priva di fondamento è pure la censura di "reformatio in pejus" rispettivamente di comportamento contraddittorio dell'amministrazione (il cosiddetto "venire contra factum proprium" fondato sul principio costituzionale della buona fede, art. 9 Cost.). Al riguardo va rilevato che la possibilità di procedere ad una "reformatio in pejus" è concretamente utilizzata da un'autorità giudiziaria, previo una determinata procedura di avviso della parte che potrebbe subire la riforma "a suo svantaggio" (pregiudizio) della decisione impugnata (cfr. segnatamente art. 62 cpv. 2 e 3 PA, art. 61 cpv. 1 lett. d LPGA; Pierre Moor/Etienne Poltier, op. cit. n. 5.8.4.2). Una "reformatio in pejus" esiste solo se una determinata decisione ha creato dei diritti effettivi e questi vengono soppressi o ridimensionati a svantaggio del ricorrente. Inoltre, in caso di ricorso innanzi ad un Tribunale amministrativo, la stessa autorità amministrativa ha facoltà di riesaminare la decisione impugnata (art. 58 PA, art. 53 cpv. 2 LPGA), segnatamente a maggior ragione l'Ufficio AI può ritornare su di un proprio precedente progetto di decisione. In altre parole, nel caso concreto con il primo progetto di decisione l'Ufficio AI cantonale non ha attribuito, in modo vincolante, una determinata prestazione all'assicurata, ma ha esposto una determinata situazione giuridica - in modo che la parte potesse prendere posizione - sulla quale, dopo riflessione ed accertamenti, è poi ritornato, rispettando il diritto di essere sentito conformemente alle regole procedurali. Tale procedere non può essere criticato in quanto l'amministrazione deve applicare il diritto ed il progetto non è vincolante per le parti e pertanto può essere modificato. Secondo la dottrina infatti scopo della procedura di preavviso è essenzialmente di istaurare un dialogo diretto con l'assicurato alfine di garantire che i fatti siano stabiliti correttamente ed di spiegare i motivi per cui l'ufficio intende emanare una decisione negativa o diversa da quella pretesa dall'interessato, (cfr. Michel Valterio, Droit de l'assurance-viellesse et survivants (AVS) et de l'assurance-invalidité (AI), pag. 806 N 2954). Nel presente caso quindi l'interessata ha avuto l'ampia possibilità di criticare il progetto di decisione del 14 settembre 2012, mentre l'Ufficio AI cantonale non ha proceduto né ad una "reformatio in pejus", né ha violato un principio di non contraddittorietà, riaprendo un'istruttoria atta a verificare se fossero riunite tutte le condizioni per procedere alla progettata assegnazione della rendita. Anzi, questa verifica incombe sempre all'amministrazione la quale non può esporsi al rischio di riconoscere prestazioni a cui il richiedente non ha diritto.</w:t>
      </w:r>
    </w:p>
    <w:p>
      <w:r>
        <w:rPr>
          <w:b/>
        </w:rPr>
        <w:t>E. 8.3</w:t>
      </w:r>
    </w:p>
    <w:p>
      <w:r>
        <w:t>Infine, per quel che riguarda un presunta violazione del principio della sicurezza del diritto e/o della buona fede, sempre nell'ottica dei contenuti fra il primo ed il secondo progetto di decisione, si può solamente osservare, senza approfondire con dottrina e giurisprudenza tali nozioni, che l'interessata non ha preso disposizioni irreversibile e pregiudizievoli in seguito al primo progetto d'assegnazione di rendita.</w:t>
      </w:r>
    </w:p>
    <w:p>
      <w:r>
        <w:rPr>
          <w:b/>
        </w:rPr>
        <w:t>E. 8.4</w:t>
      </w:r>
    </w:p>
    <w:p>
      <w:r>
        <w:t>In conclusione alla luce di quanto esposto ai considerandi precedenti le censure di ordine formale sollevate dalla ricorrente sono quindi infondate.</w:t>
      </w:r>
    </w:p>
    <w:p>
      <w:r>
        <w:rPr>
          <w:b/>
        </w:rPr>
        <w:t>E. 9</w:t>
      </w:r>
    </w:p>
    <w:p>
      <w:r>
        <w:t>Nel merito l'interessata ha beneficiato di una rendita intera dell'assicurazione svizzera per l'invalidità dal 1° dicembre 2007 al 31 luglio 2009 (doc. 77-1). Il provvedimento è passato in giudicato. La nominata ha poi presentato una seconda domanda di rendita AI, intitolata "istanza di revisione", il 30 settembre 2011 (doc. 91), ricevuta dall'Ufficio AI cantonale il 4 ottobre successivo. In questa domanda si indica in modo chiaro che trattasi di "un sopraggiunto peggioramento dello status fisico" (doc. 91, pag. 1).</w:t>
      </w:r>
    </w:p>
    <w:p>
      <w:r>
        <w:rPr>
          <w:b/>
        </w:rPr>
        <w:t>E. 10.1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10.2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10.3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10.4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tenore dal 1° gennaio 2008).</w:t>
      </w:r>
    </w:p>
    <w:p>
      <w:r>
        <w:rPr>
          <w:b/>
        </w:rPr>
        <w:t>E. 11.1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11.2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11.3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11.4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11.5</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12.1</w:t>
      </w:r>
    </w:p>
    <w:p>
      <w:r>
        <w:t>Al fine di giudicare se è intervenuta una modifica rilevante del grado d'invalidità, si deve considerare il periodo intercorso tra la decisione iniziale e quella che pronuncia la revisione. Il punto di partenza per la valutazione di una modifica del grado di invalidità suscettivo di incidere notevolmente sul diritto alla prestazione costituisce in particolare, dal profilo temporale, l'ultima decisione cresciuta in giudicato che è stata oggetto di un esame materiale del diritto alla rendita dopo contestuale accertamento pertinente dei fatti, apprezzamento delle prove e confronto dei redditi (DTF 133 V 108, 114 consid. 5.4)</w:t>
      </w:r>
    </w:p>
    <w:p>
      <w:r>
        <w:rPr>
          <w:b/>
        </w:rPr>
        <w:t>E. 12.2</w:t>
      </w:r>
    </w:p>
    <w:p>
      <w:r>
        <w:t>In concreto il periodo di riferimento è pertanto quello intercorrente tra la decisione dell'8 marzo 2010, passata in giudicato e quella del 23 luglio 2013, qui impugnata.</w:t>
      </w:r>
    </w:p>
    <w:p>
      <w:r>
        <w:rPr>
          <w:b/>
        </w:rPr>
        <w:t>E. 13.1</w:t>
      </w:r>
    </w:p>
    <w:p>
      <w:r>
        <w:t>La nozione d'invalidità di cui all'art. 4 LAI e 8 LPGA è di carattere giuridico economico, non medico (DTF 116 V 249 consid. 1b). In base all'art. 16 LPGA, applicabile per il rinvio dell'art. 28 cpv. 2 LAI (art. 28a cpv. 1 LAI in vigore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13.2</w:t>
      </w:r>
    </w:p>
    <w:p>
      <w:r>
        <w:t>Al riguardo va rilevato che una perizia richiesta dall'Ufficio AI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 Lo stesso vale per quel che riguarda le perizie dell'amministrazione fatte esperire da medici esterni. Il Tribunale federale ha in particolare considerato rilevante una perizia affidata al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13.3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n. 18 pag. 81 consid 4.3).</w:t>
      </w:r>
    </w:p>
    <w:p>
      <w:r>
        <w:rPr>
          <w:b/>
        </w:rPr>
        <w:t>E. 14.1</w:t>
      </w:r>
    </w:p>
    <w:p>
      <w:r>
        <w:t>Ai fini dell'erogazione della rendita intera limitata nel tempo l'UAI si era fondato sul parere dei medici del SMR, in particolare dello specialista in medicina interna, Dott. E._______ e della specialista in psichiatria, Dott.ssa F._______ (consid. A.b), i quali avevano posto la diagnosi di stato dopo mastectomia sinistra, stato dopo ricostruzione mammaria, mastoplastica riduttiva del gennaio 2008, sindrome dorsobrachiale sinistra su scompenso statico e sbilanciamento muscolare, fatigue; priva di influsso sulla capacità di lavoro residua è stata posta la diagnosi di adenoma surrenalico, iperamilasemia, stato dopo isterectomia per fibromatosi, obesità 1, alterazioni degenerative toraciche, sindrome vertiginosa ricorrente, sindrome ansiosa-depressiva (ICD 10 F41.2). Gli specialisti avevano ritenuto che la peritanda poteva svolgere il precedente lavoro al 50% (presenza al 100%). In attività consone, rispettose di determinati limiti funzionali, la sua capacità di lavoro era pari all'80% (con presenza al 100%, consid. A.a).</w:t>
      </w:r>
    </w:p>
    <w:p>
      <w:r>
        <w:rPr>
          <w:b/>
        </w:rPr>
        <w:t>E. 14.2</w:t>
      </w:r>
    </w:p>
    <w:p>
      <w:r>
        <w:t>A sostegno della "domanda di revisione", in data 30 settembre 2011 l'assicurata ha trasmesso il certificato del Dott. G._______, specialista in medicina interna e medicina manuale, il quale, dopo aver descritto l'evoluzione dello stato di salute dell'assicurata a far tempo dalla pronuncia della decisione dell'UAI dell'8 marzo 2010, ha addotto che "visto il quadro clinico mi chiedo se la valutazione sia ancora giustificata o se non esista un peggioramento della redditività della paziente" (doc. 90). Il medico curante non ha tuttavia indicato in cosa sarebbe consistito il peggioramento né lo ha quantificato. L'assicurata dopo la prima decisione era in particolare stata sottoposta a intervento di laparoscopia operativa con adesiolisi cambio in laparotomia ulteriore diffusa adesiolisi del sigma e asportazione di cisti ovarica a destra (intervento del 3 settembre 2010). In seguito era stata degente a causa di dolori addominali su sigmoidite con terapia conservativa. Era stata inoltre posta la diagnosi di piccola linfocele iuxtaovarica sinistra. Infine erano stati pure accertati dolori addominali dovuti ad aderenze dopo intervento e ad alterazioni della sensibilità al dolore viscerale con bassa soglia. Il SAM, dal canto suo, incaricato dal SMR di stabilire se era intervenuto un peggioramento (doc. 105) nella propria perizia del 29 marzo 2012 (doc. 108) ha rilevato a titolo di diagnosi con ripercussione sulla capacità di lavoro: sindrome dolorosa cronica a livello del tronco e dell'arto superiore sinistro in sindrome cervico e dorsospondilogena cronica su importante squilibrio muscolare in stato dopo revisione operatoria del seno sinistro (carcinoma duttale in situ) con ricostruzione tramite muscolo grande dorsale il 19 febbraio 2007, diminuzione della mobilità dorsale in presenza di una dish; periartropatia scapolo-omerale tendinotica cronica sinistra con diminuzione della mobilità attiva della spalla in assenza di segni di una capsulite retrattile, assenza di atrofie muscolari, sonografia normale (Dott. M.______ 4/2009); incipiente compressione del nervo mediano sinistro nel canale carpale. Quali diagnosi senza influenza sulla capacità al lavoro sono state indicate: sindrome mista ansio-depressiva (F41.2), vertigini soggettive da posizione soprattutto a destra; esiti di laparatomia con adesiolisi complicata da sigmoidite settembre/ottobre 2010; stato dopo isterectomia per utero fibromatoso maggio 1999; riferito noto adenoma surrenalico a destra non secernente; amilasemia elevata, probabilmente macroamilasemia; ipertensione arteriosa nota e trattata dal 2009 e ben equilibrata; obesità corporea (BMI 32,8%). Non sussistono altre patologie documentate degne di rilievo. In particolare si sottolinea che la malattia tumorale non ha manifestato, a 6 anni di distanza, né recidive, né metastasi. Per quanto riguarda le conseguenze invalidanti delle menzionate affezioni, il SAM ha concluso per un'incapacità di lavoro totale nella precedente attività e del 50% in attività adeguate che tengano conto dei limiti ortopedici e (inglobati in questi) quelli neurologici. I periti hanno precisato che la valutazione poteva essere fatta risalire a maggio 2008.</w:t>
      </w:r>
    </w:p>
    <w:p>
      <w:r>
        <w:rPr>
          <w:b/>
        </w:rPr>
        <w:t>E. 14.3</w:t>
      </w:r>
    </w:p>
    <w:p>
      <w:r>
        <w:t>Esaminata la valutazione del SAM, non sfuggiva all'Ufficio AI che la stessa poneva in discussione quella precedente e che stava alla base della rendita limitata nel tempo concessa con decisione cresciuta in giudicato dell'8 marzo 2010 (rendita intera dal 1° dicembre 2007 al 31 luglio 2009, doc. 77). L'Ufficio AI ha quindi sottoposto gli atti al caposervizio del SMR (Dott. I._______), il quale, confrontate le valutazioni dei Dott.ri E._______ ed F._______, autori delle relazioni alla base della decisione dell'8 marzo 2010 (rapporto rassegnato il 16 aprile 2009, doc. 40) con quelli dei periti del SAM del 29 marzo 2012 (doc. 108) ed altri referti specialistici ad atti, ha concluso che risultava evidente una diversa valutazione di una situazione rimasta sostanzialmente uguale.</w:t>
      </w:r>
    </w:p>
    <w:p>
      <w:r>
        <w:rPr>
          <w:b/>
        </w:rPr>
        <w:t>E. 14.4</w:t>
      </w:r>
    </w:p>
    <w:p>
      <w:r>
        <w:t>A proposito dell'eventuale peggioramento dello stato di salute, su cui i periti del SAM, malgrado espressa richiesta, non si erano espressi, in seguito alla domanda esplicita posta dal Dott. I._______ in data 2 aprile 2013 (doc. 128-1) hanno precisato che "alla luce degli accertamenti pluridisciplinari effettuati in occasione della suindicata perizia non possiamo affermare che lo stato di salute dell'A. abbia presentato un sostanziale peggioramento tale da giustificare la maggiore limitazione della sua capacità lavorativa rispetto a quanto valutato dal Dott. E._______ nel suo rapporto medico del 16 aprile 2009. Come riferito a pag. 30, capitolo 9 della perizia, la misura maggiore di limitazione valetudinaria si giustifica nel seguente modo: - i limiti funzionali e di carico stabiliti dal Dott. E._______ non sono rispettosi delle patologie muscoloscheletriche ed in particolare della problematica alla spalla sin., tanto che il nostro consulente reumatologo, Dott. N.________, ha ritenuto non più esigibile il mansionario richiesto dal datore di lavoro nella costruzione di parti di ascensore; - a tale prova il Dott. E._______ non ha tenuto in debito conto le rilevanti informazioni riguardanti le difficoltà pratiche presentate dall'A. nello svolgimento dell'accertamento professionale avvenuto poche settimane prima della sua valutazione". (doc. 129-1)</w:t>
      </w:r>
    </w:p>
    <w:p>
      <w:r>
        <w:rPr>
          <w:b/>
        </w:rPr>
        <w:t>E. 14.5</w:t>
      </w:r>
    </w:p>
    <w:p>
      <w:r>
        <w:t>Esaminando la risposta del SAM, il caposervizio SMR (doc. 131) ha ottenuto conferma che non era intervenuto nessun peggioramento fra le due situazioni temporali, bensì era stato effettuato solo un diverso apprezzamento valetudinario della medesima patologia. Affermare che il Dott. E._______ (ed la Dott.ssa F._______) ha valutato meno severamente le doglianze e le limitazioni funzionali della peritanda, non è altro che esprimere un diverso parere.</w:t>
      </w:r>
    </w:p>
    <w:p>
      <w:r>
        <w:rPr>
          <w:b/>
        </w:rPr>
        <w:t>E. 15</w:t>
      </w:r>
    </w:p>
    <w:p>
      <w:r>
        <w:t>Nel caso in esame la questione se una delle due perizie va preferita all'altra, come sostiene l'UAIE secondo cui la perizia dei Dott.ri E._______ e F._______ risulta più convincente di quella del SAM, può tuttavia restare indecisa in quanto irrilevante ai fini dell'esito del gravame, non essendo adempiuti in concreto né i presupposti per procedere ad una revisione della rendita pro futuro, né per procedere ad un riesame con effetto retroattivo. In effetti, seppur in seconda battuta e su espressa richiesta del Dott. I._______ del SMR, il SAM si è pronunciato in modo chiaro sull'esistenza o meno di un peggioramento dello stato di salute dell'assicurata, dopo la pronuncia della prima decisione, negandolo. Il fatto che la misura della capacità lavorativa residua sia stata valutata differentemente rispetto a quanto indicato dai dottori E._______ e F._______ è, a questo proposito irrilevante. Tale conclusione va senz'altro condivisa, non essendovi del resto documenti medici nell'incarto atti a metterla in discussione. In effetti, malgrado il SAM in un primo tempo ha proceduto, erroneamente, in quanto in contrasto con il mandato conferitogli dal SMR, a rivedere globalmente (e quindi anche con effetto retroattivo) e non solo dalla pronuncia della precedente decisione, il caso, è pur vero che dal complemento peritale emerge in modo chiaro che lo stato di salute rispettivamente le ripercussioni dello stesso sulla capacità lavorativa dell'assicurata sono rimaste invariate. Al riguardo va rilevato che anche gli atti trasmessi dall'assicurata non permettono di giungere ad una conclusione differente. Dopo la pronuncia della decisione impugnata, infatti, l'assicurata è stata ricoverata due volte in ospedale, tuttavia soltanto una volta ha subito un intervento. L' affezione di cui ha sofferto è stata tuttavia considerata dal SAM priva di carattere invalidante (consid. B.c). D'altronde neppure il medico curante ha mai sostenuto il contrario. Egli inoltre non si è pronunciato in modo chiaro sull'asserito peggioramento, formulando semplicemente un'ipotesi circa una tale eventualità. La discrepanza relativa alla misura della capacità lavorativa residua riscontrata nelle due perizie infine non è chiaramente riconducibile ad un peggioramento dello stato di salute, bensì ad una valutazione differente da parte degli esperti dell'incidenza della situazione valetudinaria sulla capacità lavorativa dell'assicurata. Tale fatto è stato spiegato a chiare lettere dal SAM, il quale ha asserito quanto riportato al considerando 14.4 (cfr. supra in italico). Alla luce di quanto sopra esposto, l'asserito peggioramento dello stato di salute di A._______ dopo l'8 marzo 2010 non può essere ammesso. La situazione è pertanto invariata. In quanto infondato, il ricorso va pertanto respinto.</w:t>
      </w:r>
    </w:p>
    <w:p>
      <w:r>
        <w:rPr>
          <w:b/>
        </w:rPr>
        <w:t>E. 16.1</w:t>
      </w:r>
    </w:p>
    <w:p>
      <w:r>
        <w:t>Secondo un principio generale del diritto delle assicurazioni sociali l'amministrazione può riesaminare una decisione cresciuta in giudicato e che non è stata oggetto di controllo giudiziale di merito, solo quand'essa è senza dubbio erronea e la sua rettifica rivesta una notevole importanza. L'art. 53 cpv. 2 LPGA ha codificato nelle legge questo principio, in precedenza regolato dalla prassi e dalla giurisprudenza. L' amministrazione, anche in presenza delle due condizioni sopra elencate, ossia l'errore manifesto e la notevole importanza, non è tenuta a riconsiderare dette decisioni. Né l'assicurato, né il giudice possono obbligarla in tale senso (cfr. DTF 133 V 50 consid. 4.1, 119 V 475). Tuttavia, allorquando l'Ufficio preposto entra nel merito di una domanda di riconsiderazione esaminandone le condizioni, prima di statuire sul merito con una nuova decisione di rifiuto, la stessa può essere oggetto di ricorso. Il controllo giudiziario si limiterà allora a verificare se le condizioni di una riconsiderazione sono date (cfr. Michel Valterio, op. cit., n. 3125 e seg., segnatamente n. 3136 e la giurisprudenza ivi citata).</w:t>
      </w:r>
    </w:p>
    <w:p>
      <w:r>
        <w:rPr>
          <w:b/>
        </w:rPr>
        <w:t>E. 16.2</w:t>
      </w:r>
    </w:p>
    <w:p>
      <w:r>
        <w:t>Nel caso in esame anche la decisione dell'UAI di non procedere ad un riesame può essere condivisa da questa Corte e va pertanto confermata. In effetti la decisione dell'8 marzo 2010, con cui l'UAI cantonale aveva attribuito a A._______ una rendita limitata nel tempo non appare, alla luce della perizia del SAM, che giunge a delle conclusioni differenti rispetto al SMR, senza dubbio errata. Al riguardo va rilevato che secondo la giurisprudenza del Tribunale federale sull'erroneità della decisione non deve sorgere alcun ragionevole dubbio, segnatamente è possibile solo concludere in tal senso (DTF 138 V 325 consid. 3.3 e giurisprudenza citata). Questa condizione è di regola adempiuta se l'assegnazione di una rendita è intervenuta in base a disposizioni giuridiche errate o se disposizioni rilevanti non sono state applicate rispettivamente lo sono state scorrettamente. Un errore nell'apprezzamento per contro non adempie tali presupposti (DTF 119 V 475 consid. 3; SVR 2010 IV No. 5, sentenza del TF 8C_1012/2008 consid. 2.2;). Al riguardo va rilevato che la stessa ricorrente non ha impugnato la prima decisione e motivato la nuova domanda di rendita unicamente quale "peggioramento dello stato di salute". Solo dopo l'esperimento della perizia da parte del SAM l'interessata ha preteso un riesame della decisione con effetto retroattivo. Se è vero poi che, alla luce della perizia del SAM, ci si può chiedere se le conclusioni cui è giunto il SMR fossero corrette, è pur altrettanto vero che il nuovo referto, che evidentemente si fonda sull'apprezzamento eseguito da altri medici, non permette di affermare senz'ombra di dubbio che la precedente decisione dell'UAI era errata. Dalla lettura di entrambe le perizie emerge infatti che i medici incaricati hanno proceduto a valutare in modo differente una medesima situazione. Un'eventuale errore nell'apprezzamento non giustificherebbe in ogni caso un riesame. Visto quanto precede correttamente l'amministrazione non ha proceduto a riesaminare la precedente decisione. Il ricorso deve essere pertanto respinto e la decisione impugnata confermata.</w:t>
      </w:r>
    </w:p>
    <w:p>
      <w:r>
        <w:rPr>
          <w:b/>
        </w:rPr>
        <w:t>E. 17.1</w:t>
      </w:r>
    </w:p>
    <w:p>
      <w:r>
        <w:t>La procedura è di principio onerosa (art. 69 LAI). La ricorrente ha tuttavia chiesto l'assistenza giudiziaria completa, ossia la dispensa dall'anticipo delle spese processuali ed il gratuito patrocinio nella persona del Sig. B. Cereghetti, compilando il relativo questionario il 21 agosto 2014 e allegando nel contempo allegato alcuni documenti a sostegno della sua domanda (doc. TAF 11, 12). Giusta l'art. 65 cpv. 1 PA, a cui rinvia l'art. 37 della legge sul Tribunale amministrativo federale del 17 giugno 2005 (LTAF, RS 173.32), se una parte non dispone dei mezzi necessari e le sue conclusioni non sembrano prive di probabilità di successo, il giudice dell'istruzione la dispensa, a domanda, dopo il deposito del ricorso, dal pagamento delle spese processuali. in virtù dell'art. 65 cpv. 2 PA, se è necessario per tutelare i diritti di tale parte, in altri termini se le circostanze lo giustificano, il giudice dell'istruzione le designa inoltre un avvocato. i presupposti per la concessione dell'assistenza giudiziaria e del gratuito patrocinio sono di massima adempiuti se il richiedente si trova nel bisogno, se le sue conclusioni non sembrano dover avere esito sfavorevole e l'assistenza di un avvocato è necessaria o perlomeno indicata (sentenza del Tribunale federale 9C_147/2011 del 20 giugno 2011; DTF 127 I 202 consid. 3b, DTF 125 V 371 consid. 5b e relativi riferimenti). Una parte si trova nel bisogno qualora non possa pagare le spese giudiziarie senza pregiudizio dei mezzi necessari al suo sostentamento e a quello della sua famiglia (sentenza del Tribunale federale 9C_147/2011 del 20 giugno 2011; DTF 128 I 225 consid. 2.5.1). Lo stato di bisogno va valutato in base alle risorse finanziarie (reddito e sostanza [mobiliare e immobiliare]) dell'istante (DTF 124 I 1 consid. 2a) e, dandosi il caso, delle persone che hanno verso di lui degli obblighi di mantenimento (per esempio il coniuge; DTF 120 Ia 179 e DTF 115 Ia 193). Per ammettere il bisogno ai fini processuali è sufficiente che la parte non disponga di mezzi superiori a quelli necessari per far fronte al sostentamento normale della famiglia; nell'ambito di questo esame, la situazione finanziaria e patrimoniale va considerata globalmente (sentenza del Tribunale federale I 134/06 del 7 maggio 2007 consid. 5.3). Va peraltro sottolineato che prima di richiedere l'assistenza giudiziaria dallo Stato, la persona interessata, nel limite dell'esigibile (la giurisprudenza federale garantendo una riserva di soccorso ["Notgroschen"]), deve di principio attingere alla propria sostanza (DTF 119 Ia 11 consid. 5 [v. pure DTF 119 Ia 11 sull'esigibilità, per il richiedente, di gravare un immobile e di assumersi un {ulteriore} debito ipotecario]).</w:t>
      </w:r>
    </w:p>
    <w:p>
      <w:r>
        <w:rPr>
          <w:b/>
        </w:rPr>
        <w:t>E. 17.2</w:t>
      </w:r>
    </w:p>
    <w:p>
      <w:r>
        <w:t>Dalle carte processuali (TAF 11, 12) emerge che la ricorrente, coniugata con O. ______, non detiene redditi propri (dopo la soppressione della rendita AI con effetto 1° agosto 2009). Il marito percepisce un importo pensionistico di 1'165.- Euro al mese per 13 mesi (doc. TAF 11, allegato 2). Essi abitano in usufrutto in un appartamento di proprietà della figlia (cfr. estratto della prima pagina di un atto notarile, doc. TAF 11, allegato 4). Detengono un veicolo di scarso valore commerciale e sul conto bancario possiedono somme insignificanti (doc. TAF 11, allegato 5). Oltre alle possibili spese mensili da eventualmente ritenere, bisogna tenere conto del minimo esistenziale, che corrisponde ad un forfait di spese per il cibo, i vestiti, la cura del corpo, la telefonia, il riscaldamento, l'acqua, ecc. Per coniugi residenti in Svizzera il minimo esistenziale ammonta a CHF 1'700.- (conformemente alla "Tabella per il calcolo del minimo di esistenza agli effetti del diritto esecutivo (art. 93 LEF)", disponibile sul sito internet: http://www4.ti.ch/poteri/giudiziario/giustizia-civile/tabella-dei-minimi-desistenza/, consultato il 26.11.2014). Il citato importo deve essere adattato al paese d'origine dei ricorrenti, in questo caso l'Italia, secondo l'indice dei prezzi dell'Organizzazione per la cooperazione e per lo sviluppo economico (OECD, dati ricavati dal sito internet: http://www.oecd-ilibrary.org/economics/data/prices/comparative-price-levels_data-00536-en), e da ultimo deve essere maggiorato del 20%. Il minimo esistenziale è quindi pari a fr. 1'346.40 (1'700 x 66% x 120% = 1'346.40). In tali circostanze risulta provato con il grado della verosimiglianza preponderante valido nelle assicurazioni sociali che la ricorrente si trova in stato d'indigenza, in quanto un introito mensile famigliare di Euro 1'262.- (in media), 42.- Euro al giorno, pari a circa fr. 1'550.- al mese e a fr. 51.- al giorno, pur in assenza di un canone di locazione, è da ritenersi insufficiente per far fronte al minimo vitale di una famiglia di due persone.</w:t>
      </w:r>
    </w:p>
    <w:p>
      <w:r>
        <w:rPr>
          <w:b/>
        </w:rPr>
        <w:t>E. 17.3</w:t>
      </w:r>
    </w:p>
    <w:p>
      <w:r>
        <w:t>Il ricorso non sembrava inoltre di primo acchito privo di probabilità di esito favorevole, ritenuto in particolare come la causa, a seguito dei due progetti di decisione, era divenuta assai complessa.</w:t>
      </w:r>
    </w:p>
    <w:p>
      <w:r>
        <w:rPr>
          <w:b/>
        </w:rPr>
        <w:t>E. 17.4</w:t>
      </w:r>
    </w:p>
    <w:p>
      <w:r>
        <w:t>Visto quanti precede, A._______ viene ammessa all'assistenza giudiziaria. L'anticipo spese di fr. 400.- da lei versato il 31 ottobre 2013 (doc. TAF 8) le viene quindi restituito.</w:t>
      </w:r>
    </w:p>
    <w:p>
      <w:r>
        <w:rPr>
          <w:b/>
        </w:rPr>
        <w:t>E. 17.5</w:t>
      </w:r>
    </w:p>
    <w:p>
      <w:r>
        <w:t>Secondo costante giurisprudenza, si giustifica di principio la designazione di un avvocato d'ufficio all'indigente allorquando la situazione giuridica dello stesso è suscettibile di essere intaccata in modo particolarmente grave o allorquando, senza essere intaccata in modo particolarmente grave, mette comunque seriamente in causa gli interessi dell'indigente e la procedura presenta difficoltà in fatto e/o in diritto a cui il ricorrente non è in grado di far fronte da solo (DTF 130 I 180 consid. 2.2 nonché relativi riferimenti e sentenza del Tribunale federale 8C_1031/2010 del 18 gennaio 2011 consid. 2.1). Una procedura giudiziaria concernente il diritto ad una rendita non può essere considerata per principio semplice perché retta dal principio inquisitorio (cfr. sentenza del Tribunale federale 8C_172/2010 del 29 marzo 2010 consid. 3 e 4). Possono tuttavia essere designati quali patrocinatori d'ufficio solo degli avvocati che dispongono del brevetto e che adempiano perlomeno per analogia le condizioni personali per essere iscritti nel registro ai sensi dell'art. 8 cpv. 1 della legge federale del 23 giugno 2000 sulla libera circolazione degli avvocati (legge sugli avvocati, LLCA, RS 935.61 [cfr. DTF 132 V 200 consid. 5.1, in particolare 5.1.3 e 5.2]; si confronti anche Seiler/Von Werdt/Güngerich, Bundesgerichtsgesetz, Berna 2007, ad art. 64 pag. 213 in relazione all'analogo art. 64 cpv. 2 LTF). Quindi coloro che non dispongono del brevetto di avvocato non possono essere nominati patrocinatori d'ufficio neppure se si tratta di collaboratori di istituzioni di pubblica utilità (Seiler, op. cit. pag. 213 N 234).</w:t>
      </w:r>
    </w:p>
    <w:p>
      <w:r>
        <w:rPr>
          <w:b/>
        </w:rPr>
        <w:t>E. 17.6</w:t>
      </w:r>
    </w:p>
    <w:p>
      <w:r>
        <w:t>Il Signor Cereghetti, titolare di uno studio di assistenza/consulenze e rappresentanze, può vantare un ampio curriculum professionale in materia di diritto della assicurazioni sociali (doc. TF 11), tuttavia non è in possesso del brevetto d'avvocato. Egli non può pertanto essere nominato difensore d'ufficio. L'istanza tendente all'ammissione al gratuito patrocinio va pertanto respinta.</w:t>
      </w:r>
    </w:p>
    <w:p>
      <w:r>
        <w:rPr>
          <w:b/>
        </w:rPr>
        <w:t>E. 17.7</w:t>
      </w:r>
    </w:p>
    <w:p>
      <w:r>
        <w:t>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