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C-4565/2009 vom 22. September 2010</w:t>
      </w:r>
    </w:p>
    <w:p>
      <w:r>
        <w:t>Bundesverwaltungsgericht, 2010-09-22, IT</w:t>
      </w:r>
    </w:p>
    <w:p>
      <w:r>
        <w:rPr>
          <w:b/>
        </w:rPr>
        <w:t xml:space="preserve">Quelle: </w:t>
      </w:r>
      <w:r>
        <w:t>https://mcp.opencaselaw.ch/entscheid/bvger_C-4565_2009</w:t>
      </w:r>
    </w:p>
    <w:p>
      <w:r>
        <w:t>FR: TAF C-4565/2009 du 22 septembre 2010</w:t>
      </w:r>
    </w:p>
    <w:p>
      <w:r>
        <w:t>IT: TAF C-4565/2009 del 22 settembre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dal 1° gennaio 2008, in conformità con le nuove disposizioni.</w:t>
      </w:r>
    </w:p>
    <w:p>
      <w:r>
        <w:rPr>
          <w:b/>
        </w:rPr>
        <w:t>E. 4</w:t>
      </w:r>
    </w:p>
    <w:p>
      <w:r>
        <w:t>Il ricorrente contesta la validità formale della decisione dell'UAIE, rilevando che essa sarebbe nulla poiché priva di motivazione.</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(cfr.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5.2</w:t>
      </w:r>
    </w:p>
    <w:p>
      <w:r>
        <w:t>La giurisprudenza ha dedotto dal diritto di essere sentito, definito dalle norme speciali di procedura (quali l'art. 35 PA) l'obbligo per l'autorità di motivare la sua decisione, così da permettere ai destinatari ed a tutte le persone interessate di comprenderla, di impugnarla ed in modo da rendere possibile all'autorità di ricorso adita di esercitare convenientemente il suo controllo (DTF 129 I 232 consid. 3.2; DTF 126 I 97 consid. 2b; DTF 122 IV 8 consid. 2c, DTF 112 Ia 107 consid. 2b; cfr. inoltre la sentenza del Tribunale federale 2A.496/2006/ 2A.497/2006 del 15 ottobre 2007 consid. 5.1.1). Si è in presenza di una violazione del diritto di essere sentito se l'autorità non soddisfa al suo obbligo di esaminare e di trattare i problemi pertinenti (DTF 126 I 97 consid. 2b; DTF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del Tribunale federale 2A.496/2006 / 2A.497/2006 precitata). Sebbene la motivazione debba fare emergere le riflessioni dell'autorità in merito agli elementi (di fatto o di diritto) essenziali che hanno influenzato la decisione, l'autorità non è comunque tenuta a pronunciarsi su tutti i fatti, argomentazioni e mezzi di prova invocati dalle parti, ma può limitarsi a quelli che, senza arbitrio, le sembrano decisivi per la risoluzione della causa (DTF 126 I 97 consid. 2b; DTF 112 Ia 107 consid. 2b). È sufficiente che l'amministrazione indichi brevemente i motivi della decisione e quali sono gli elementi alla base di quest'ultima (DTF 124 V 180, consid. 1a, confermato nella sentenza del Tribunale federale, del 9 maggio 2000, in re I., ed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favorevole del ricorso nel merito (cfr. DTF 126 I 19 consid. 2d/bb; DTF 126 V 130 consid. 2b; DTF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DTF 130 II 530 consid. 7.3; DTF 126 V 130 consid. 2b; DTF 124 V 389 consid. 5a e 180 consid. 4a).</w:t>
      </w:r>
    </w:p>
    <w:p>
      <w:r>
        <w:rPr>
          <w:b/>
        </w:rPr>
        <w:t>E. 5.4</w:t>
      </w:r>
    </w:p>
    <w:p>
      <w:r>
        <w:t>In concreto, se la motivazione della decisione impugnata risulta effettivamente essere succinta, ciò non ha comunque impedito il ricorrente di comprenderne la portata e di deferirla all'istanza superiore. Nell'ambito del ricorso, infatti, egli ha potuto difendersi in maniera corretta, nella misura in cui è stato in grado di dedurre i fatti su cui la decisione si fonda e le ragioni per cui è stata pronunciata. Tuttavia, anche se la decisione fosse considerata non sufficientemente motivata, si rileva che tale carenza sarebbe sanata dal ricorso davanti a questo Tribunale, che dispone di un pieno potere d'esame (fatti e diritto). Visto quanto precede, la censura del ricorrente in ordine all'insufficienza della motivazione e, quindi, alla violazione del suo diritto di essere sentito, deve essere respinta.</w:t>
      </w:r>
    </w:p>
    <w:p>
      <w:r>
        <w:rPr>
          <w:b/>
        </w:rPr>
        <w:t>E. 6</w:t>
      </w:r>
    </w:p>
    <w:p>
      <w:r>
        <w:t>Il ricorrente contesta la validità materiale della decisione dell'UAIE, chiedendo che gli sia riconosciuto il diritto ad una rendita intera d'invalidità.</w:t>
      </w:r>
    </w:p>
    <w:p>
      <w:r>
        <w:rPr>
          <w:b/>
        </w:rPr>
        <w:t>E. 7</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per almeno un anno intero (art. 36 cpv. 1 LAI, nel tenore in vigore fino al 31 dicembre 2007). A partire dal 1° gennaio 2008, è tuttavia necessario avere versato contributi durante almeno 3 anni (art. 36 LAI nel tenore modificato il 6 ottobre 2006 ).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8.1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8.2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dell'ALC, la limitazione prevista dall'art. 28 cpv. 1ter LAI (art. 29 cpv. 4 LAI, a partire dal 1° gennaio 2008), secondo il quale le rendite per un grado d'invalidità inferiore al 50% sono versate solo ad assicurati che sono domiciliati e dimorano abitualmente in Svizzera (art. 13 LPGA), non è più applicabile quando l'assicurato è cittadino svizzero o dell'Unione europea e vi risiede.</w:t>
      </w:r>
    </w:p>
    <w:p>
      <w:r>
        <w:rPr>
          <w:b/>
        </w:rPr>
        <w:t>E. 8.3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8.4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8.5</w:t>
      </w:r>
    </w:p>
    <w:p>
      <w:r>
        <w:t>La nozione d'invalidità di cui all'art. 4 cpv. 1 LAI e 8 cpv. 1 LPGA è di carattere giuridico economico, non medico (DTF 116 V 249 consid. 1b). In base all'art. 16 LPGA, applicabile per il rinvio dell'art. 28 cpv. 2 LAI (art. 28a cpv. 1 LAI, dal 1° gennaio 2008),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8.6</w:t>
      </w:r>
    </w:p>
    <w:p>
      <w:r>
        <w:t>Benché l'invalidità sia una nozione giuridico economica, le certificazioni mediche possono costituire importanti elementi per apprezzare il danno invalidante e per determinare quali lavori siano ancora ragionevolmente esigibili dall'assicurato (DTF 115 V 133 consid. 2 e 114 V 310 consid. 3c).</w:t>
      </w:r>
    </w:p>
    <w:p>
      <w:r>
        <w:rPr>
          <w:b/>
        </w:rPr>
        <w:t>E. 9</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10.1</w:t>
      </w:r>
    </w:p>
    <w:p>
      <w:r>
        <w:t>In concreto, dall'insieme della documentazione medica agli atti e, in particolare, dalla perizia E 213 del dott.C._______, medico dell'INPS, del 7 gennaio 2009 (doc. 38), nonché dalle due prese di posizione del dott. D._______, medico dell'UAIE, del 29 marzo e del 30 maggio 2009 (doc. 40 e 47), risulta la diagnosi di esiti da trapianto del midollo osseo in seguito a LMA, d'esofagite da reflusso, d'ipertensione arteriosa, di vitiligine, di dolori poliarticolari, di bronchite cronica e di esiti da operazione di una fistola perianale. Da un referto otorinolaringoiatrico del 24 dicembre 2008 (doc. 36), si evince pure la presenza di un'ipoacusia bilaterale da probabile trauma cranico necessitante dei controlli annuali. Tale affezione era già stata rilevata nella perizia E 213, senza essere tuttavia ripresa nell'ambito della diagnosi principale con incidenza sulla capacità lavorativa. Parimenti per quanto concerne la pollacchiuria da ingrossamento benigno della prostata (IPB), che può essere validamente trattata mediante un'adeguata terapia. La diagnosi risulta pertanto univoca atti, non contestata dal ricorrente, e deve perciò essere confermata dal collegio giudicante.</w:t>
      </w:r>
    </w:p>
    <w:p>
      <w:r>
        <w:rPr>
          <w:b/>
        </w:rPr>
        <w:t>E. 10.2</w:t>
      </w:r>
    </w:p>
    <w:p>
      <w:r>
        <w:t>Per quanto riguarda le conseguenze invalidanti delle affezioni diagnosticate, il dott. C._______ ha valutato, nella sua perizia, che il ricorrente può esercitare la sua ultima professione di operaio carrozziere solamente due ore al giorno, ma che è in grado di svolgere regolarmente lavori leggeri, senza controindicazioni, ma può svolgere un lavoro adeguato alle sue condizioni di salute solo per 3 ore al giorno, formulando un grado d'invalidità, secondo il diritto italiano, del 67%. Nella sua prima presa di posizione, il dott. D._______ ha invece considerato che il ricorrente può continuare a praticare la sua ultima attività professionale a tempo pieno, senza alcuna restrizione. Il medico dell'UAIE ha sottolineato che il trapianto del midollo osseo in seguito a LMA nel 1999, è stato coronato da successo, senza particolari complicazioni e senza recidive. Egli ha aggiunto che il ricorrente rivela uno stato di salute buono, indipendentemente dalla fatica e dai dolori poliarticolari di cui si lamenta, e che la diminuzione delle sue difese immunitarie, con la conseguente vitiligine, non giustificano il riconoscimento di un'incapacità lavorativa. Il medico dell'UAIE ha inoltre puntualizzato, nella sua seconda presa di posizione, che i disturbi di natura degenerativa interessanti il ginocchio destro e il rachide cervicale e lombosacrale (cfr. esame RM del 30 marzo 2009), non superano l'intensità abituale riscontrabile in persone della stessa età del ricorrente e, d'altronde, che la patologia osteoarticolare era già stata evidenziata nell'ambito della perizia E 213.</w:t>
      </w:r>
    </w:p>
    <w:p>
      <w:r>
        <w:rPr>
          <w:b/>
        </w:rPr>
        <w:t>E. 10.3</w:t>
      </w:r>
    </w:p>
    <w:p>
      <w:r>
        <w:t>Dall'incarto risulta che il ricorrente è rientrato in Italia nel 1989 e da allora non avrebbe più svolto alcuna attività lucrativa, benché la principale affezione di cui egli soffre si sia manifestata solamente nell'agosto 1999 ed il susseguente intervento di trapianto del midollo osseo sia avvenuto nel dicembre dello stesso anno. I regolari controlli mensili - bimestrali dell'emocromo e del profilo della funzione epatica e renale e le visite periodiche ai quali egli si è sottoposto, da ultimo nel gennaio 2009, hanno permesso di escludere una recidiva della malattia nonostante la persistenza di una condizione di deficienza immunitaria. D'altro canto, risulta dall'esame obiettivo effettuato dal dott. C._______ per quanto concerne l'apparato osteoarticolare, che il rachide è spinalgico in toto con una lievissima contrattura lombare e con mobilità in flessione ridotta per un terzo, il segno di Lasègue è negativo, i movimenti e l'andatura sono normali, gli arti superiori sono nei limiti e ed agli arti inferiori si presenta una gonalgia bilaterale in esiti di intervento ai legamenti con accosciamento lievemente ridotto. Dal punto di vista psichico sussiste unicamente una lieve ansia reattiva.</w:t>
      </w:r>
    </w:p>
    <w:p>
      <w:r>
        <w:rPr>
          <w:b/>
        </w:rPr>
        <w:t>E. 10.4</w:t>
      </w:r>
    </w:p>
    <w:p>
      <w:r>
        <w:t>Visto quanto precede, non è condivisibile la valutazione di cui alla perizia E 213, non essendo la stessa corroborata dai riscontri oggettivi agli atti segnatamente da indicazioni concernenti l'esistenza di limitazioni funzionali suscettibili di incidere negativamente sulla capacità lavorativa del ricorrente in attività adeguate al suo stato di salute. Pertanto, il collegio giudicante ritiene che, pur lasciando aperta la questione dell'effettiva esigibilità a tempo pieno dell'ultima professione esercitata nel lontano 1989 d'operaio carrozziere, il ricorrente deve essere ritenuto atto a svolgere, senza restrizioni, delle attività leggere confacenti al suo stato di salute. Va infine ricordato che, per costante giurisprudenza, ogni assicurato deve intraprendere tutto quanto sia ragionevolmente esigibile per ovviare nel modo migliore possibile alle conseguenze della sua invallidità, segnatamente mettendo a profitto la sua residua capacità lavorativa se necessario in una nuova professione (DTF 130 V 97 consid. 3.2 e 113 V 22 consid. 4a). È quindi necessario verificare, sulla base del metodo generale di raffronto dei redditi da valido e da invalido, se il ricorrente subisca in tal caso una perdita di guadagno a livello pensionabile.</w:t>
      </w:r>
    </w:p>
    <w:p>
      <w:r>
        <w:rPr>
          <w:b/>
        </w:rPr>
        <w:t>E. 11.1</w:t>
      </w:r>
    </w:p>
    <w:p>
      <w:r>
        <w:t>Come già menzionato al considerando 8.5,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concreto, dall'estratto del conto individuale AVS/AI (doc. 8) risulta che il ricorrente ha guadagnato in Svizzera nel 1988, lavorando come operaio carrozziere, Fr. 52'846.-. Indicizzando questo valore al 2008, sulla base della Tabella T1.39, categoria salari nominali per uomini, dell'Ufficio federale di statistica (UFS), si ottiene un salario annuo di Fr. 80'403.- (52'846 x 2092 : 1375). Come attività leggere, possono entrare in considerazione, conformemente alla Tabella TA1 dell'UFS, categoria 4 (attività semplici e ripetitive) relativa agli uomini, le attività dell'industria manifatturiera in generale, per un salario annuo di Fr. 61'392.- (5'116 x 12), calcolato su un orario settimanale di 40 ore, ossia Fr. 64'001.- su un orario di 41.7 alla settimana. Eseguendo il raffronto dei due redditi, secondo la formula [(80'403 - 64'001) : 80'403 x 100], si evidenzia una perdita di guadagno approssimativa del 20% circa, la quale non dà diritto all'ottenimento di una rendita d'invalidità svizzera.</w:t>
      </w:r>
    </w:p>
    <w:p>
      <w:r>
        <w:rPr>
          <w:b/>
        </w:rPr>
        <w:t>E. 11.2</w:t>
      </w:r>
    </w:p>
    <w:p>
      <w:r>
        <w:t>Ne discende che il ricorrente, sia partendo dal presupposto che possa continuare ad esercitare a tempo pieno l'attività di operaio carrozziere, come preteso dal medico dell'UAIE, sia che possa eseguire unicamente attività leggere confacenti al suo stato di salute, non ha diritto ad alcuna rendita d'invalidità svizzera.</w:t>
      </w:r>
    </w:p>
    <w:p>
      <w:r>
        <w:rPr>
          <w:b/>
        </w:rPr>
        <w:t>E. 12</w:t>
      </w:r>
    </w:p>
    <w:p>
      <w:r>
        <w:t>Di conseguenza, il ricorso deve essere respinto e la decisione impugnata confermata.</w:t>
      </w:r>
    </w:p>
    <w:p>
      <w:r>
        <w:rPr>
          <w:b/>
        </w:rPr>
        <w:t>E. 13</w:t>
      </w:r>
    </w:p>
    <w:p>
      <w:r>
        <w:t>Con scritto del 25 gennaio 2010, il ricorrente ha chiesto di essere posto al beneficio dell'assistenza giudiziaria per quanto attiene alle spese di procedura. 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e se le sue conclusioni non sembrano dover avere esito sfavorevole (DTF 125 V 202 consid. 4a, 372 consid. 5b e riferimenti, sentenza della II Corte di diritto pubblico del Tribunale federale I 134/06 del 7 maggio 2007).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(DTF 125 II 275 e DTF 124 I 304 consid. 2c). Inoltre, quando le prospettive di successo e i rischi di perdere il processo si eguagliano o le prime sono soltanto leggermente inferiori rispetto ai secondi, le domande non possono essere considerate senza esito favorevole (DTF 125 II 275; DTF 124 I 304 consid. 2c; DTF 122 I 267 consid. 2b). In concreto, questo Tribunale considera, sulla base della documentazione agli atti, che, da un lato, risulta tutto sommato comprovata la situazione d'indigenza del ricorrente (disoccupato senza essere al beneficio di altre prestazioni sociali), e, dall'altro lato, che il ricorso non appariva di primo acchito sprovvisto di possibilità di esito favorevole (DTF 125 V 202 consid. 4a; 372 consid. 5b). Ne consegue che il ricorrente è ammesso al beneficio dell'assistenza giudiziaria parziale e, pertanto, non si prelevano spese processuali. Visto l'esito del ricorso, non si assegnano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