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C-4565/2007 vom 22. März 2010</w:t>
      </w:r>
    </w:p>
    <w:p>
      <w:r>
        <w:t>Bundesverwaltungsgericht, 2010-03-22, FR</w:t>
      </w:r>
    </w:p>
    <w:p>
      <w:r>
        <w:rPr>
          <w:b/>
        </w:rPr>
        <w:t xml:space="preserve">Quelle: </w:t>
      </w:r>
      <w:r>
        <w:t>https://mcp.opencaselaw.ch/entscheid/bvger_C-4565_2007</w:t>
      </w:r>
    </w:p>
    <w:p>
      <w:r>
        <w:t>FR: TAF C-4565/2007 du 22 mars 2010</w:t>
      </w:r>
    </w:p>
    <w:p>
      <w:r>
        <w:t>IT: TAF C-4565/2007 del 22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S'agissant des procédures qui sont antérieures à l'entrée en vigueur de la LEtr, l'ancien droit (matériel) est applicable, conformément à la réglementation transitoire de l'art. 126 al. 1 LEtr (cf. en ce sens ATAF 2008/1 consid. 2). Tel est le cas en l'occurrence. En revanche, conformément à l'art. 126 al. 2 LEtr, la procédure relative à la présente cause, initiée avant l'entrée en vigueur de la LEtr, le 1er janvier 2008, est régie par le nouveau droit. A moins que la LTAF n'en dispose autrement, la procédure devant le TAF est régie par la PA (cf. art. 37 LTAF). 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précité, l'état de droit régnant au moment où elle statue (cf. consid. 1.2 de l'arrêt du Tribunal fédéral 2A.451/2002 du 28 mars 2003, partiellement publié [ATF 129 II 215]).</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jurisprudence citée),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jurisprudence citée).</w:t>
      </w:r>
    </w:p>
    <w:p>
      <w:r>
        <w:rPr>
          <w:b/>
        </w:rPr>
        <w:t>E. 4</w:t>
      </w:r>
    </w:p>
    <w:p>
      <w:r>
        <w:t>En l'espèce, l'interdiction d'entrée que l'ODM a prononcée le 24 mai 2007 à l'endroit de A._______ est motivée par le fait que celui-ci devait être considéré comme un étranger indésirable en Suisse en raison de son comportement et pour des motifs d'ordre et de sécurité publics. Le prénommé a en effet été condamné, le 8 mai 2006, par le Tribunal correctionnel du district du Val de Travers, à 24 mois d'emprisonnement pour homicide par négligence, lésions corporelles graves et simples par négligence et violation grave des règles de la circulation routière. Eu égard à la gravité des faits pour lesquels il a été condamné par le Tribunal précité, le recourant répond manifestement à la qualification d'étranger indésirable telle que définie à l'art. 13 al. 1 phr. 1 LSEE et par la jurisprudence y relative (ATAF 2008/24 précité consid. 4.2 et les références citées, en particulier ATF 129 IV 246 consid. 3.2), de sorte qu'il réalise les conditions d'application de cette disposition (cf. consid. 2 supra). Il s'ensuit, au regard du droit interne, que la décision d'interdiction d'entrée dont est recours se révèle, pour des raisons préventives d'ordre et de sécurité publics, parfaitement justifiée dans son principe.</w:t>
      </w:r>
    </w:p>
    <w:p>
      <w:r>
        <w:rPr>
          <w:b/>
        </w:rPr>
        <w:t>E. 5</w:t>
      </w:r>
    </w:p>
    <w:p>
      <w:r>
        <w:t>Dans la mesure où A._______ a la nationalité portugaise et, partant, est citoyen de l'un des Etats membres de la Communauté européenne (CE), il importe de surcroît de vérifier que la mesure d'éloignement prononcée à son endroit le 24 mai 2007 est conforme à l'ALCP. En vertu de l'art. 1 let. a LSEE, cette dernière loi et, donc, l'art. 13 al. 1 LSEE sur lequel repose la décision querellée, ne sont en effet applicables aux ressortissants des Etats membres de la CE que si l'ALCP n'en dispose pas autrement.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 et jurisprudence citée]).</w:t>
      </w:r>
    </w:p>
    <w:p>
      <w:r>
        <w:rPr>
          <w:b/>
        </w:rPr>
        <w:t>E. 6</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 et jurisprudence citée;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et jurisprudence citée;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et jurisprudence citée).</w:t>
      </w:r>
    </w:p>
    <w:p>
      <w:r>
        <w:rPr>
          <w:b/>
        </w:rPr>
        <w:t>E. 7</w:t>
      </w:r>
    </w:p>
    <w:p>
      <w:r>
        <w:t>Comme déjà relevé plus haut, A._______ a été condamné le 8 mai 2006, par le Tribunal correctionnel du district du Val de Travers, à 24 mois d'emprisonnement pour homicides par négligence, lésions corporelles graves et simples par négligence et violation grave des règles de la circulation routière. Dans son jugement, le Tribunal a notamment retenu que le recourant avait "pris le risque de rouler à une allure extrêmement rapide, sans avoir le moindre respect pour la sécurité des personnes qu'il véhiculait ainsi que des autres usagers de la route". Le Tribunal a considéré que celui-ci avait "volontairement commencé à rouler vite dès la sortie du village de Buttes jusqu'au lieu de l'accident, sans aucune nécessité" et que "même si le prévenu a cru qu'une perte de maîtrise de son véhicule ne surviendrait pas, il ne pouvait que réaliser que sa conduite à une telle vitesse, sur une route qu'il connaissait, n'était pas sans présenter de dangers; sa négligence est ainsi majeure, se trouvant à la limite de l'infraction intentionnelle et démontrant le peu de cas qu'il faisait de la sécurité et de la vie d'autrui". En considération de ce qui précède, il y a donc lieu de retenir que le recourant a commis un délit d'une extrême gravité qui a causé la mort de deux personnes et en a blessé gravement deux autres et dont on ne saurait contester qu'il affecte un intérêt fondamental de la société au sens de la jurisprudence de la CJCE.</w:t>
      </w:r>
    </w:p>
    <w:p>
      <w:r>
        <w:rPr>
          <w:b/>
        </w:rPr>
        <w:t>E. 8</w:t>
      </w:r>
    </w:p>
    <w:p>
      <w:r>
        <w:t>Il reste cependant à examiner si cette menace est toujours actuelle, au vu de l'évolution de la situation personnelle du recourant depuis le prononcé de la décision attaquée. Le Tribunal souligne que, par décision du 24 août 2007, l'Office d'application des peines du Service pénitentiaire de la République et canton de Neuchâtel (ci-après: l'Office d'application des peines) a mis A._______ au bénéfice de la libération conditionnelle à partir du 7 septembre 2007. Or, il s'impose de relever ici que, dans sa décision de libération conditionnelle, l'Office d'application des peines a imparti à A._______ un délai d'épreuve d'une année en lui imposant notamment l'obligation de se soumettre à un suivi psychothérapeutique axé sur le comportement impulsif lors de la conduite de véhicules automobiles, ainsi que l'interdiction de conduire un véhicule automobile durant le délai d'épreuve. De plus, il apparaît que, depuis sa libération, la situation personnelle et professionnelle du recourant a subi une évolution positive et que les séquelles psychologiques laissées par l'accident du 16 juin 2005 sont de nature à lui faire prendre conscience à l'avenir de l'importance de la maîtrise de son comportement. Dans ce contexte, le risque de voir le recourant adopter à nouveau un comportement de nature à menacer gravement la sécurité routière apparaît désormais faible et ne saurait donc plus justifier le maintien de la mesure d'éloignement prononcée le 24 mai 2007. En considération de ce qui précède, le Tribunal arrive à la conclusion que la décision de l'ODM était certes fondée lors de son prononcé, mais que, compte tenu de l'évolution favorable du recourant sur les plans personnel et professionnel, ainsi que de sa nouvelle situation familiale issue de la naissance de son fils D._______, celui-ci ne présente plus, en l'état, une menace réelle et actuelle pour l'ordre public au sens de l'art. 5 al. 1 Annexe I ALCP. Aussi, la décision d'interdiction d'entrée du 24 mai 2007 ne satisfait plus aux conditions habilitant l'autorité à déroger au principe de libre circulation des personnes consacré par l'ALCP (cf. à ce sujet notamment l'arrêt du Tribunal fédéral 2C_378/2007 du 14 janvier 2008.) et doit en conséquence être levée avec effet immédiat.</w:t>
      </w:r>
    </w:p>
    <w:p>
      <w:r>
        <w:rPr>
          <w:b/>
        </w:rPr>
        <w:t>E. 9</w:t>
      </w:r>
    </w:p>
    <w:p>
      <w:r>
        <w:t>Le recours est en conséquence partiellement admis et les effets de l'interdiction d'entrée prononcée le 24 mai 2007 sont limités à ce jour. Bien qu'elle succombe partiellement, l'autorité inférieure n'a pas à supporter de frais de procédure (art. 63 al. 2 PA). Compte tenu de l'issue de la cause, il y aurait lieu de mettre des frais réduits de procédure à la charge du recourant, lequel est toutefois dispensé de ces frais, dès lors qu'il a été mis au bénéfice de l'assistance judiciaire complète par décision du Tribunal du 19 juillet 2007. Le recourant a par ailleurs droit à des dépens réduits (art. 64 al. 1 PA en relation avec l'art. 7 al. 2 du règlement du 11 décembre 2006 concernant les frais, dépens et indemnités fixés par le Tribunal administratif fédéral [FITAF, RS 173.320.2]).</w:t>
      </w:r>
    </w:p>
    <w:p>
      <w:r>
        <w:rPr>
          <w:b/>
        </w:rPr>
        <w:t>E. 10</w:t>
      </w:r>
    </w:p>
    <w:p>
      <w:r>
        <w:t>Le mandataire de A._______ ayant été désigné comme avocat d'office pour la présente procédure, il y a lieu d'allouer en outre au recourant une indemnité pour les honoraires non couverts par les dépens qui lui sont alloués (art. 8 à 10 en relation avec l'art. 12 et l'art. 14 FITAF), le recourant ayant l'obligation de rembourser ce montant s'il revient à meilleure fortune, conformément à l'art. 65 al. 4 PA. Le 12 novembre 2009, le mandataire du recourant a adressé au Tribunal une note d'honoraires s'élevant à Fr. 4'995.85. Conformément à l'art. 10 al. 1 FITAF, les honoraires d'avocat doivent être calculés en fonction du temps nécessaire à la défense de la partie représentée. L'autorité appelée à fixer les dépens sur la base d'une note de frais ne saurait toutefois se contenter de s'y référer sans procéder à un examen, mais doit plutôt examiner dans quelle mesure les frais allégués se sont avérés indispensables à la représentation de la partie recourante (cf. ANDRÉ MOSER, MICHAEL BEUSCH, LORENZ KNEUBÜHLER, Prozessieren vor dem Bundesverwaltungsgericht, in Handbücher für die Anwaltspraxis Band X, Basel 2008, Rz 4.84), En l'espèce, l'examen du relevé d'activité produit le 12 novembre 2009 par le mandataire du recourant amène le Tribunal à constater que les correspondances adressées aux autorités cantonales ne concernent pas directement la présente procédure, que le temps pris en considération pour l'activité effectuée par l'avocat-stagiaire (34h40) dépasse largement ce qui peut paraître nécessaire pour la défense des intérêts du recourant au regard des difficultés de l'affaire, que le temps calculé pour les observations déposées le 17 décembre 2007 est disproportionné, compte tenu du fait qu'elles reprennent l'essentiel des arguments développés dans le recours, et que le temps consacré aux conférences avec le client paraît également exagéré. Selon l'estimation du Tribunal, il y a lieu de réduire cette somme à Fr. 2500.-, TVA comprise, au vu de l'ensemble de l'activité déployée et étant donné qu'hormis le recours et les observations du 17 décembre 2007, qui reprennent d'ailleurs l'essentiel de l'argumentation présentée dans le pourvoi, les autres courriers du mandataire de A._______ sont dépourvus de considérations juridiques. Cette estimation prend également en compte l'écriture déposée le 22 février 2010, laquelle se limite presque exclusivement à la constatation de faits. Aussi, le Tribunal allouera au recourant le montant précité, sous forme de dépens pour Fr. 1250.- et d'honoraires pour Fr. 1250.-.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