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C-4560/2012 vom 9. Oktober 2012</w:t>
      </w:r>
    </w:p>
    <w:p>
      <w:r>
        <w:t>Bundesverwaltungsgericht, 2012-10-09, IT</w:t>
      </w:r>
    </w:p>
    <w:p>
      <w:r>
        <w:rPr>
          <w:b/>
        </w:rPr>
        <w:t xml:space="preserve">Quelle: </w:t>
      </w:r>
      <w:r>
        <w:t>https://mcp.opencaselaw.ch/entscheid/bvger_C-4560_2012</w:t>
      </w:r>
    </w:p>
    <w:p>
      <w:r>
        <w:t>FR: TAF C-4560/2012 du 9 octobre 2012</w:t>
      </w:r>
    </w:p>
    <w:p>
      <w:r>
        <w:t>IT: TAF C-4560/2012 del 9 ottobre 2012</w:t>
      </w:r>
    </w:p>
    <w:p>
      <w:pPr>
        <w:pStyle w:val="Heading2"/>
      </w:pPr>
      <w:r>
        <w:t>Regeste</w:t>
      </w:r>
    </w:p>
    <w:p>
      <w:r>
        <w:t>Assicurazione per la vecchiaia e i superstiti (altro)</w:t>
      </w:r>
    </w:p>
    <w:p>
      <w:pPr>
        <w:pStyle w:val="Heading2"/>
      </w:pPr>
      <w:r>
        <w:t>Erwägungen</w:t>
      </w:r>
    </w:p>
    <w:p>
      <w:r>
        <w:rPr>
          <w:b/>
        </w:rPr>
        <w:t>E. 1</w:t>
      </w:r>
    </w:p>
    <w:p>
      <w:r>
        <w:t>Il 16 agosto 2012, la Cassa svizzera di compensazione (CSC) ha riconsiderato la propria decisione del 13 marzo 2012 ed ha fissato l'importo del contributo all'assicurazione svizzera per la vecchiaia, i superstiti e l'invalidità (AVS/AI) per l'anno 2011.</w:t>
      </w:r>
    </w:p>
    <w:p>
      <w:r>
        <w:rPr>
          <w:b/>
        </w:rPr>
        <w:t>E. 2</w:t>
      </w:r>
    </w:p>
    <w:p>
      <w:r>
        <w:t>Il 3 settembre 2012, l'interessata ha inoltrato una dichiarazione di ricorso dinanzi al Tribunale amministrativo federale contro la decisione su opposizione resa dalla CSC il 16 agosto 2012.</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4</w:t>
      </w:r>
    </w:p>
    <w:p>
      <w:r>
        <w:t>Il Tribunale amministrativo federale, con decisione incidentale del 20 settembre 2012 (notificata il 21 settembre 2012; cfr. risultanze processuali e in particolare l'avviso di ricevimento postale [doc. TAF 4]), ha invitato la ricorrente a regolarizzare la dichiarazione di ricorso del 3 settembre 2012, nel senso dell'indicazione dei motivi e delle conclusioni del gravame (art. 52 cpv. 2 PA), entro il termine di 7 giorni a decorrere da quello successivo alla notificazione del provvedimento medesimo, con comminatoria di inammissibilità del ricorso in caso di decorso infruttuoso del termine (art. 52 cpv. 3 PA). Questo Tribunale ha altresì segnalato all'insorgente che benché non si possa assoggettare a requisiti troppo rigorosi un ricorso proposto da un privato che procede personalmente, occorre comunque, da un lato, che nel ricorso sia spiegato,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(conclusioni) in caso d'accoglimento del ricorso stesso.</w:t>
      </w:r>
    </w:p>
    <w:p>
      <w:r>
        <w:rPr>
          <w:b/>
        </w:rPr>
        <w:t>E. 5</w:t>
      </w:r>
    </w:p>
    <w:p>
      <w:r>
        <w:t>Il termine assegnato alla ricorrente per presentare un atto ricorsuale nel senso indicato nella decisione incidentale del 20 settembre 2012 di questo Tribunale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Non si prelevano spese processuali (art. 1 cpv. 1 e 85bis cpv. 2 LAVS) né, visto l'esito della causa, si attribuiscono ripetibili, fermo restando che le autorità federali, quand'anche vincenti, non hanno di principio diritto ad un'indennità a titolo di ripetibili,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