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C-4553/2010 vom 24. September 2010</w:t>
      </w:r>
    </w:p>
    <w:p>
      <w:r>
        <w:t>Bundesverwaltungsgericht, 2010-09-24, FR</w:t>
      </w:r>
    </w:p>
    <w:p>
      <w:r>
        <w:rPr>
          <w:b/>
        </w:rPr>
        <w:t xml:space="preserve">Quelle: </w:t>
      </w:r>
      <w:r>
        <w:t>https://mcp.opencaselaw.ch/entscheid/bvger_C-4553_2010</w:t>
      </w:r>
    </w:p>
    <w:p>
      <w:r>
        <w:t>FR: TAF C-4553/2010 du 24 septembre 2010</w:t>
      </w:r>
    </w:p>
    <w:p>
      <w:r>
        <w:t>IT: TAF C-4553/2010 del 24 settembre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l'ODM (cf. art. 33 let. d LTAF)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3.1</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 voir également ATF 135 II 1 consid. 1.1 et la jurisprudence citée).</w:t>
      </w:r>
    </w:p>
    <w:p>
      <w:r>
        <w:rPr>
          <w:b/>
        </w:rPr>
        <w:t>E. 3.2</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 au nombre desquels figure l'Accord du 26 octobre 2004 entre la Confédération suisse, l'Union européenne et la Communauté européenne sur l'association de la Confédération suisse à la mise en oeuvre, à l'application et au développement de l'acquis de Schengen (AAS ; RS 0.360.268.1) - sont entrés en vigueur pour la Suisse le 12 décembre 2008.</w:t>
      </w:r>
    </w:p>
    <w:p>
      <w:r>
        <w:rPr>
          <w:b/>
        </w:rPr>
        <w:t>E. 3.3</w:t>
      </w:r>
    </w:p>
    <w:p>
      <w:r>
        <w:t>S'agissant des conditions d'entrée en Suisse pour un séjour n'excédant pas trois mois, l'art. 2 al. 1 de l'ordonnance du 22 octobre 2008 sur l'entrée et l'octroi de visas (OEV ; RS 142.204) renvoie au Règlement (CE) n° 562/2006 du Parlement européen et du Conseil du 15 mars 2006 établissant un code communautaire relatif au franchissement des frontières par les personnes (code frontières Schengen ; JO L 105 du 13 avril 2006 p. 1 à 32). Les conditions d'entrée posées par le code frontières Schengen, telles qu'elles ont été précisées par le Règlement n° 810/2009 du Parlement européen et du Conseil du 13 juillet 2009 (JO L 243 du 15 septembre 2009 p. 1 à 58), correspondent, pour l'essentiel, à celles posées à l'art. 5 de la loi fédérale du 16 décembre 2005 sur les étrangers (LEtr ; RS 142.20).</w:t>
      </w:r>
    </w:p>
    <w:p>
      <w:r>
        <w:rPr>
          <w:b/>
        </w:rPr>
        <w:t>E. 3.4</w:t>
      </w:r>
    </w:p>
    <w:p>
      <w:r>
        <w:t>Aussi, la pratique et la jurisprudence relatives à l'art. 5 LEtr, notamment celles concernant la garantie de sortie prévue par l'art. 5 al. 2 LEtr (qui correspond à l'ancien art. 1 al. 2 let. c de l'ordonnance du 14 janvier 1998 concernant l'entrée et la déclaration d'arrivée des étrangers [OEArr de 1998 ; RO 1998 194]), peuvent-elles être reprises in casu (sur les détails de cette problématique, cf. ATAF 2009/27 consid. 5.2 et 5.3).</w:t>
      </w:r>
    </w:p>
    <w:p>
      <w:r>
        <w:rPr>
          <w:b/>
        </w:rPr>
        <w:t>E. 3.5</w:t>
      </w:r>
    </w:p>
    <w:p>
      <w:r>
        <w:t>Le Règlement (CE) n° 539/2001 du Conseil du 15 mars 2001 (JO L 81 du 21 mars 2001, p. 1 à 7), modifié par le Règlement (CE) n° 1244/2009 du Conseil du 30 novembre 2009 (JO L 336 du 18 décembre 2009 p. 1 à 3), différencie, en son art. 1 par. 1 et 2, les ressortissants des Etats tiers selon qu'ils sont soumis ou non à l'obligation du visa. En tant que ressortissante de la République de Cuba, B._______ est soumise à l'obligation de visa.</w:t>
      </w:r>
    </w:p>
    <w:p>
      <w:r>
        <w:rPr>
          <w:b/>
        </w:rPr>
        <w:t>E. 4</w:t>
      </w:r>
    </w:p>
    <w:p>
      <w:r>
        <w:t>Dans la décision attaquée, l'ODM a refusé d'autoriser l'intéressée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l'intéressée est disposée à quitter l'Espace Schengen à l'échéance de son séjour ou s'il apparaît, au contraire, qu'elle cherche à pénétrer et à s'établir dans le territoire des Etats membres sous le couvert d'un visa pour visite touristique.</w:t>
      </w:r>
    </w:p>
    <w:p>
      <w:r>
        <w:rPr>
          <w:b/>
        </w:rPr>
        <w:t>E. 5</w:t>
      </w:r>
    </w:p>
    <w:p>
      <w:r>
        <w:t>Afin de déterminer si l'étranger présente les garanties nécessaires à sa sortie de Suisse, l'autorité se base, d'une part, sur la situation politique, sociale et économique prévalant dans le pays de provenance de l'intéressée (cf. ci-dessous, consid. 6) et, d'autre part, sur sa situation personnelle, familiale et professionnelle ainsi que sur les buts exposés de la visite (cf. ci-dessous, consid. 7).</w:t>
      </w:r>
    </w:p>
    <w:p>
      <w:r>
        <w:rPr>
          <w:b/>
        </w:rPr>
        <w:t>E. 6.1</w:t>
      </w:r>
    </w:p>
    <w:p>
      <w:r>
        <w:t>L'économie cubaine, très dépendante du secteur des services, a connu un taux de croissance de 1,4 % en 2009, en net recul par rapport aux années 2005, 2006, 2007 et 2008, où des taux de croissance de respectivement 12 %, 12 %, 7.5 % et 4.1 % avaient été enregistrés. Malgré ces données économiques globalement positives, auxquelles vient s'ajouter un taux de chômage exceptionnellement faible - 1.7 % en 2009 -, Cuba a fait face, en 2008, à une grave crise des liquidités qui s'est transformée en une crise de solvabilité. Avec le taux de croissance de l'économie cubaine en 2009, les perspectives s'assombrissent. Quant au produit intérieur brut (PIB) par habitant, estimé à 5'851 $, il est environ huit fois inférieur à celui de la Suisse (source: www.diplomatie.gouv.fr &gt; pays zones géo &gt; Cuba &gt; Présentation, état au 18 juin 2010 [site internet consulté le 20 septembre 2010]). S'agissant de la situation politique de la République de Cuba, si certains développements positifs concernant les droits de l'homme ont été enregistrés au début de l'année 2008, la population demeure soumise à un contrôle étouffant, les libertés d'opinion, d'expression, de réunion, d'association et de déplacement continuant à subir de graves atteintes (source: www.diplomatie.gouv.fr &gt; pays zones géo &gt; Cuba &gt; Présentation, état au 18 juin 2010, consulté le 20 septembre 2010).</w:t>
      </w:r>
    </w:p>
    <w:p>
      <w:r>
        <w:rPr>
          <w:b/>
        </w:rPr>
        <w:t>E. 6.2</w:t>
      </w:r>
    </w:p>
    <w:p>
      <w:r>
        <w:t>Cet état de fait est susceptible d'entraîner une forte pression migratoire, pression encore renforcée, comme l'expérience l'a démontré, lorsque la personne concernée peut s'appuyer à l'étranger sur un réseau social préexistant, ce qui est le cas en l'espèce. Toutefois, cette situation dans le pays d'origine ne suffit pas à conclure à l'absence de garantie quant à la sortie de l'intéressée de Suisse et de l'Espace Schengen à l'issue de son séjour, toutes les particularités du cas d'espèce devant être prises en considération.</w:t>
      </w:r>
    </w:p>
    <w:p>
      <w:r>
        <w:rPr>
          <w:b/>
        </w:rPr>
        <w:t>E. 7</w:t>
      </w:r>
    </w:p>
    <w:p>
      <w:r>
        <w:t>Il convient dès lors d'examiner la situation personnelle, professionnelle et patrimoniale de B._______, ainsi que les raisons l'ayant poussée à requérir l'octroi d'un visa.</w:t>
      </w:r>
    </w:p>
    <w:p>
      <w:r>
        <w:rPr>
          <w:b/>
        </w:rPr>
        <w:t>E. 7.1</w:t>
      </w:r>
    </w:p>
    <w:p>
      <w:r>
        <w:t>Sans remettre en cause les raisons qui motivent la demande de visa, le Tribunal ne saurait admettre que le retour de l'intéressée à Cuba au terme de l'autorisation requise puisse être considéré comme suffisamment garanti. En effet, il ressort des pièces du dossier que B._______, âgée de cinquante-sept ans, réside à Cardenas, ville située à l'Est de La Havane, est divorcée et n'exerce, selon ses propres déclarations et selon les informations recueillies par l'Ambassade de Suisse à Cuba, aucune activité lucrative (cf. ci-dessus, let. A). En tant que femme divorcée, vivant seule, sans emploi, rien ne retient objectivement B._______ à Cuba. Certes, elle affirme s'occuper très fréquemment de ses enfants, petits-enfants et d'autres membres de sa famille, ce que l'autorité de céans ne met pas en doute. Rien n'indique toutefois qu'elle en ait la charge. S'il convient d'admettre que de tels liens peuvent, dans une certaine mesure, inciter une personne à retourner dans son pays à l'issue d'un séjour touristique en Suisse, ils ne sauraient, dans le contexte politico-économique dans lequel se trouve Cuba et au regard de la situation personnelle et professionnelle de B._______, suffire à garantir son retour dans ce pays. L'intéressée pourrait ainsi être tentée, une fois entrée en Suisse, de prolonger son séjour, ne serait-ce que temporairement, dans le but de trouver de meilleures conditions d'existence, malgré les assurances contraires données dans le cadre de la procédure de recours par A._______.</w:t>
      </w:r>
    </w:p>
    <w:p>
      <w:r>
        <w:rPr>
          <w:b/>
        </w:rPr>
        <w:t>E. 7.2</w:t>
      </w:r>
    </w:p>
    <w:p>
      <w:r>
        <w:t>S'agissant de la situation patrimoniale de B._______, la recourante mentionne, au stade de la réplique uniquement et sans en apporter la preuve, que son invitée est propriétaire de la maison dans laquelle elle réside, si bien que le Tribunal ne peut prendre ce fait en compte. Il sied toutefois de préciser que quand bien même la propriété de la maison aurait pu être établie, elle n'aurait, en l'espèce, pas amené le Tribunal à rendre une décision différente, cet élément étant insuffisant à garantir le retour de l'intéressée dans son pays après le séjour envisagé.</w:t>
      </w:r>
    </w:p>
    <w:p>
      <w:r>
        <w:rPr>
          <w:b/>
        </w:rPr>
        <w:t>E. 7.3</w:t>
      </w:r>
    </w:p>
    <w:p>
      <w:r>
        <w:t>Le Tribunal se doit en outre de relever que les ressortissants cubains qui ont effectué un séjour à l'étranger de plus de onze mois et vingt-neuf jours ne sont plus autorisés, selon les dispositions en vigueur dans leur pays et en l'état actuel des connaissances du Tribunal, à y retourner (cf. à ce sujet MICHAEL KIRSCHNER, Kuba, Legale und illegale Aus- und Einreise, Schweizerische Flüchtlingshilfe, Berne 2006 ; cf. également arrêts du Tribunal administratif fédéral C-6160/2009 du 15 avril 2010 consid. 13 et C-6528/2007 du 3 février 2010 consid. 6.3). Cela signifie que si B._______ choisissait de prolonger indûment son séjour en Suisse, l'organisation de son éventuel rapatriement à Cuba s'en trouverait singulièrement compromise.</w:t>
      </w:r>
    </w:p>
    <w:p>
      <w:r>
        <w:rPr>
          <w:b/>
        </w:rPr>
        <w:t>E. 7.4</w:t>
      </w:r>
    </w:p>
    <w:p>
      <w:r>
        <w:t>Au regard de ce qui précède, le Tribunal considère que B._______ serait parfaitement à même de se créer une nouvelle existence en Suisse, sans que cela n'entraîne une difficulté majeure sur les plans personnel, professionnel et familial et conclut en conséquence que la sortie de l'intéressée de l'Espace Schengen au terme du visa requis n'est pas assurée.</w:t>
      </w:r>
    </w:p>
    <w:p>
      <w:r>
        <w:rPr>
          <w:b/>
        </w:rPr>
        <w:t>E. 8</w:t>
      </w:r>
    </w:p>
    <w:p>
      <w:r>
        <w:t>Certes, il peut, du moins à première vue, sembler sévère de refuser à une personne l'autorisation d'entrer dans un pays où réside une amie, une connaissance, voire un membre de sa famille. Il sied toutefois de relever que les autorités suisses, au vu du nombre important de demandes de visa qui leur sont adressées, doivent prendre en considération le risque que le bénéficiaire d'un visa, après avoir été confronté concrètement à la réalité helvétique, prenne finalement la décision de s'installer durablement dans ce pays. Dans ce contexte, lesdites autorités ont été amenées à adopter une politique d'admission restrictive. Pareilles considérations ne sont pas sans avoir une incidence sur l'appréciation du cas particulier.</w:t>
      </w:r>
    </w:p>
    <w:p>
      <w:r>
        <w:rPr>
          <w:b/>
        </w:rPr>
        <w:t>E. 9</w:t>
      </w:r>
    </w:p>
    <w:p>
      <w:r>
        <w:t>Il importe de préciser que le refus d'une autorisation d'entrée ne remet nullement en cause la bonne foi ou l'honnêteté des personnes qui, résidant régulièrement en Suisse, ont invité des tiers domiciliés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à la ressortissante étrangère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obligatoire sur le plan juridique (cf. ATAF précité consid. 9) et ne suffisent pas non plus à garantir que son départ interviendra dans les délais prévus.</w:t>
      </w:r>
    </w:p>
    <w:p>
      <w:r>
        <w:rPr>
          <w:b/>
        </w:rPr>
        <w:t>E. 10</w:t>
      </w:r>
    </w:p>
    <w:p>
      <w:r>
        <w:t>Au demeurant, le refus d'autorisation d'entrée prononcé par les autorités helvétiques n'a en définitive pas pour conséquence d'empêcher la recourante de maintenir des liens avec B._______, ceux-ci pouvant tout aussi bien se rencontrer hors de Suisse, notamment à Cuba, comme ce fut le cas à trois reprises par le passé, nonobstant les inconvénients d'ordre pratique ou de convenance personnelle que cela pourrait engendrer.</w:t>
      </w:r>
    </w:p>
    <w:p>
      <w:r>
        <w:rPr>
          <w:b/>
        </w:rPr>
        <w:t>E. 11</w:t>
      </w:r>
    </w:p>
    <w:p>
      <w:r>
        <w:t>Au regard de l'ensemble des circonstances du cas d'espèce, le Tribunal juge que c'est à raison que l'ODM a considéré que le retour de B._______ à Cuba à l'échéance du visa requis n'était pas suffisamment assuré et, partant, a refusé la délivrance d'une autorisation d'entrée dans l'Espace Schengen en sa faveur.</w:t>
      </w:r>
    </w:p>
    <w:p>
      <w:r>
        <w:rPr>
          <w:b/>
        </w:rPr>
        <w:t>E. 12.1</w:t>
      </w:r>
    </w:p>
    <w:p>
      <w:r>
        <w:t>Compte tenu des considérants exposés ci-dessus, il appert que, par sa décision du 11 juin 2010, l'ODM n'a ni violé le droit fédéral, ni constaté des faits pertinents de manière inexacte ou incomplète. En outre, cette décision n'est pas inopportune (art. 49 PA). En conséquence, le recours est rejeté.</w:t>
      </w:r>
    </w:p>
    <w:p>
      <w:r>
        <w:rPr>
          <w:b/>
        </w:rPr>
        <w:t>E. 12.2</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