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C-4536/2012 vom 29. August 2013</w:t>
      </w:r>
    </w:p>
    <w:p>
      <w:r>
        <w:t>Bundesverwaltungsgericht, 2013-08-29, FR</w:t>
      </w:r>
    </w:p>
    <w:p>
      <w:r>
        <w:rPr>
          <w:b/>
        </w:rPr>
        <w:t xml:space="preserve">Quelle: </w:t>
      </w:r>
      <w:r>
        <w:t>https://mcp.opencaselaw.ch/entscheid/bvger_C-4536_2012</w:t>
      </w:r>
    </w:p>
    <w:p>
      <w:r>
        <w:t>FR: TAF C-4536/2012 du 29 août 2013</w:t>
      </w:r>
    </w:p>
    <w:p>
      <w:r>
        <w:t>IT: TAF C-4536/2012 del 29 agosto 2013</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de procédure requise ayant été effectuée, le recours est recevable.</w:t>
      </w:r>
    </w:p>
    <w:p>
      <w:r>
        <w:rPr>
          <w:b/>
        </w:rPr>
        <w:t>E. 2</w:t>
      </w:r>
    </w:p>
    <w:p>
      <w:r>
        <w:t>L'objet du recours est le bien-fondé de la décision attaquée du 8 août 2012 ayant supprimé à compter du 1er octobre 2012 la rente entière d'invalidité dont bénéficiait le recourant depuis le 1er mai 2005 au motif d'une amélioration de santé depuis le 5 octobre 2010 lui permettant de reprendre une activité adaptée à 100%.</w:t>
      </w:r>
    </w:p>
    <w:p>
      <w:r>
        <w:rPr>
          <w:b/>
        </w:rPr>
        <w:t>E. 3.1</w:t>
      </w:r>
    </w:p>
    <w:p>
      <w:r>
        <w:t>Le droit applicable est déterminé par les règles en vigueur au moment où les faits juridiquement déterminants se sont produits (ATF 131 V 9 consid. 1, ATF 130 V 445 consid. 1.2 et les références), le juge n'ayant pas à prendre en considération les modifications du droit ou de l'état de fait postérieures à la date déterminante de la décision litigieuse (ATF 129 V 4 consid. 1.2).</w:t>
      </w:r>
    </w:p>
    <w:p>
      <w:r>
        <w:rPr>
          <w:b/>
        </w:rPr>
        <w:t>E. 3.2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3.3</w:t>
      </w:r>
    </w:p>
    <w:p>
      <w:r>
        <w:t>L'octroi d'une rente étrangère d'invalidité ne préjuge pas l'appréciation de l'invalidité selon la loi suisse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3.4</w:t>
      </w:r>
    </w:p>
    <w:p>
      <w:r>
        <w:t>Pour ce qui est du droit interne, les modifications consécutives à la 6ème révision de la LAI, entrées en vigueur le 1er janvier 2012, trouvent application, étant précisé que les nouvelles normes n'ont pas apporté de changements par rapport à l'ancien droit quant à l'évaluation de l'invalidité dont il convient de procéder in casu.</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28 al.1ter LAI).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883/04).</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Zurich 2011, n° 3054 ss, 3065).</w:t>
      </w:r>
    </w:p>
    <w:p>
      <w:r>
        <w:rPr>
          <w:b/>
        </w:rPr>
        <w:t>E. 5.2</w:t>
      </w:r>
    </w:p>
    <w:p>
      <w:r>
        <w:t>Selon une jurisprudence constante, une amélioration de la capacité de travail attestée médicalement conduit en principe, eu égard au devoir de se réadapter par soi-même, à une amélioration correspondante de la capacité de gain. Une appréciation contraire ne peut s'ensuivre qu'à titre exceptionnel, c'est-à-dire lorsque, nonobstant les conclusions médicales, il appert du dossier que l'assuré ne pourra pas surmonter par lui-même et sans l'application de mesures préalables ses empêchements compte tenu de la longue durée du versement de la rente et des exigences du marché du travail (arrêt du Tribunal fédéral 9C_163/2009 du 10 septembre 2010 consid. 4). Comme l'a jugé le Tribunal fédéral, on ne saurait ainsi notamment supprimer une rente sans avoir au préalable examiné les possibilités de réadaptation dans le cas d'un assuré qui a touché cette rente durant de très nombreuses années et qui ne dispose plus de l'expérience professionnelle lui permettant de se réadapter par lui-même (arrêt du Tribunal fédéral 9C_768/2009 du 10 septembre 2010 consid. 4). Il en va différemment si la durée de l'octroi de la rente a été relativement courte et si des mesures de réadaptation ne s'imposent pas au regard de l'activité exercée par l'assuré ou qu'il pourrait exercer (arrêt du Tribunal fédéral 9C_950/2009 du 25 septembre 2010 consid. 4; Valterio, op. cit., n° 3060).</w:t>
      </w:r>
    </w:p>
    <w:p>
      <w:r>
        <w:rPr>
          <w:b/>
        </w:rPr>
        <w:t>E. 5.3</w:t>
      </w:r>
    </w:p>
    <w:p>
      <w:r>
        <w:t>La révision du droit à la rente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La révision intervient également d'office périodiquement.</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(arrêts du Tribunal fédéral I 532/05 du 13 juillet 2006 consid. 3 et I 561/05 du 31 mars 2006 consid. 3.3; ATF 112 V 371 consid. 2b).</w:t>
      </w:r>
    </w:p>
    <w:p>
      <w:r>
        <w:rPr>
          <w:b/>
        </w:rPr>
        <w:t>E. 5.5</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w:t>
      </w:r>
    </w:p>
    <w:p>
      <w:r>
        <w:rPr>
          <w:b/>
        </w:rPr>
        <w:t>E. 5.6</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6</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7.3</w:t>
      </w:r>
    </w:p>
    <w:p>
      <w:r>
        <w:t>La jurisprudence a posé des lignes directrices en ce qui concerne la manière d'apprécier certains types de documents médicaux.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8.1</w:t>
      </w:r>
    </w:p>
    <w:p>
      <w:r>
        <w:t>Dans le cadre de l'octroi de la rente par décision du 6 novembre 2007 il a été reconnu sur le plan physique des atteintes touchant le rachis lombaire, les articulations, le genou gauche, une polyneuropathie sensitive des membres inférieurs dans le cadre d'un diabète non insulinorequérant, des séquelles sensitives d'un syndrome du canal carpien bilatéral, des troubles dégénératifs discrets des épaules compatibles avec un conflit sous acromial bilatéral chronique, des douleurs et une gêne fonctionnelle subjective majeure qui ont toutefois été appréciées fort élevées au vu des atteintes objectives chez un sujet ayant donné une impression d'authenticité. Par ailleurs sur le plan psychiatrique il a été retenu un épisode dépressif moyen dont les critères du tableau dépressif contribuaient certainement à une exacerbation du vécu douloureux chez une personne ayant une exacerbation de traits de personnalité émotionnellement labile dont en particulier une impulsivité marquée et une labilité thymique. Sur cette base les experts et le service médical de l'AI avaient conclu à des ressources psychiques adaptatives pour un réinvestissement professionnel insuffisantes et dépassées et avaient retenu une capacité de travail résiduelle de 30% dans une activité adaptée. En fait la rente d'invalidité avait été octroyée non seulement en raison des atteintes physiques, qui selon les experts empêchaient l'intéressé d'exercer son travail d'ouvrier mais auraient permis l'exercice d'une activité adaptée à 100%, mais aussi en raison des troubles psychiatriques qui selon eux réduisaient la capacité de travail résiduelle dans une activité adaptée de 70%.</w:t>
      </w:r>
    </w:p>
    <w:p>
      <w:r>
        <w:rPr>
          <w:b/>
        </w:rPr>
        <w:t>E. 8.2</w:t>
      </w:r>
    </w:p>
    <w:p>
      <w:r>
        <w:t>Dans le cadre de la présente révision du droit à la rente il appert du rapport E 213 du Dr F._______, établi fin 2011 à une date non déterminée, un status d'inaptitude à tout travail pour des atteintes essentiellement somatiques sans amélioration possible de l'état de santé, dont notamment une mobilité des épaules alléguée franchement douloureuse, des lombalgies invalidantes chez une personne présentant une obésité morbide, une humeur stable avec épisode d'irritabilité dont le suivi psychiatrique a été arrêté en octobre 2010. M. E._______, psychologue, a attesté en date du 20 octobre 2011 d'un suivi régulier depuis mars 2005 et l'intéressé a été mis au bénéfice d'une reconnaissance d'affection de longue durée depuis le 10 décembre 2012 prononcée par le CPAL de Colmar pour dépression grave. Cette dernière date est ultérieure à la décision rendue de l'OAIE mais il n'est pas exclu que l'intéressé ait été sensiblement atteint dans sa santé psychique bien antérieurement.</w:t>
      </w:r>
    </w:p>
    <w:p>
      <w:r>
        <w:rPr>
          <w:b/>
        </w:rPr>
        <w:t>E. 8.3</w:t>
      </w:r>
    </w:p>
    <w:p>
      <w:r>
        <w:t>Il s'ensuit des constatations précitées et du fait que l'intéressé a été mis initialement au bénéfice d'une rente entière aussi pour des raisons psychiatriques que la décision entreprise de suppression de rente ne pouvait être prise sans une expertise psychiatrique confirmant l'amélioration de l'état de santé et la possibilité d'une réintégration réelle du marché du travail et non seulement médico-théorique. Il n'est en effet pas exclu que l'intéressé puisse être d'une santé psychiatrique stabilisée mais fragile au vu notamment de ses atteintes somatiques dont il y a lieu d'apprécier l'incidence sur son status psychique. D'ailleurs, l'autorité inférieure a sollicité à plusieurs reprises mais sans résultat la production d'un rapport psychiatrique (voir notamment les courriers des 8 juillet et 21 décembre 2011 [pces 106, 131 et 132], ainsi que la note interne au médecin de l'OAIE du 6 mars 2012 [pce 134]). Sans rapport psychiatrique, l'avis du Dr G._______ du SMR du 30 mars 2012 notant des atteintes somatiques invalidantes et relevant un status psychiatrique amélioré ne peut fonder la suppression de rente. La cause doit donc être renvoyée à l'autorité inférieure en application de l'art. 61 PA (ATF 137 V 210 consid. 4.4.1.4) afin qu'elle requière un rapport psychiatrique et rende sur sa base une nouvelle décision non sans avoir examiné la réelle capacité de l'assuré de réintégrer le marché du travail au taux de capacité de travail résiduel retenu (cf. consid. 5.2 ci-dessus).</w:t>
      </w:r>
    </w:p>
    <w:p>
      <w:r>
        <w:rPr>
          <w:b/>
        </w:rPr>
        <w:t>E. 9.1</w:t>
      </w:r>
    </w:p>
    <w:p>
      <w:r>
        <w:t>Le recourant ayant eu partiellement gain de cause dans le sens d'un renvoi de la cause à l'autorité inférieure (cf. ATF 132 V 215 consid. 6.2), il n'est pas perçu de frais de procédure (art. 63 PA). Son avance de frais de 478.10 francs lui est remboursée. Le recourant ayant initialement agi seul et s'étant fait ensuite représenter en cours de procédure sans que son mandant n'ait dans la présente cause déployé une activité substantielle, il lui est accordé une équitable indemnité de 400.- francs à charge de l'autorité inférieure (art. 64 al. 1 PA et art. 7 ss du règlement du 21 février 2008 concernant les frais, dépens et indemnités fixés par le Tribunal administratif fédéral [FITAF, RS 173.320.2]) compte tenu de l'issue du recours et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