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C-4534/2013 vom 11. Juni 2014</w:t>
      </w:r>
    </w:p>
    <w:p>
      <w:r>
        <w:t>Bundesverwaltungsgericht, 2014-06-11, DE</w:t>
      </w:r>
    </w:p>
    <w:p>
      <w:r>
        <w:rPr>
          <w:b/>
        </w:rPr>
        <w:t xml:space="preserve">Quelle: </w:t>
      </w:r>
      <w:r>
        <w:t>https://mcp.opencaselaw.ch/entscheid/bvger_C-4534_2013</w:t>
      </w:r>
    </w:p>
    <w:p>
      <w:r>
        <w:t>FR: TAF C-4534/2013 du 11 juin 2014</w:t>
      </w:r>
    </w:p>
    <w:p>
      <w:r>
        <w:t>IT: TAF C-4534/2013 del 11 giugno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2013/33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(vgl. BGE 135 II 161 E. 2 mit Hinweisen).</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(vgl. BGE 135 II 161 E. 2 mit Hinweisen).</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Urteil des Bundesverwaltungsgerichts C 476/2012 vom 19. Juli 2012 E. 4.3 mit Hinweis).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(vgl. BGE 132 II 113 E. 3.2).</w:t>
      </w:r>
    </w:p>
    <w:p>
      <w:r>
        <w:rPr>
          <w:b/>
        </w:rPr>
        <w:t>E. 4</w:t>
      </w:r>
    </w:p>
    <w:p>
      <w:r>
        <w:t>Die Möglichkeit zur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Nach jeder Untersuchungshandlung, die der eingebürgerten Person mitgeteilt wird, beginnt eine neue zweijährige Verjährungsfrist zu laufen. Während eines Beschwerdeverfahrens stehen die Fristen still (Art. 41 Abs. 1bis BüG). Art. 41 Abs. 1bis BüG ist auf alle Einbürgerungsfälle anwendbar, in denen die altrechtliche Frist nicht bereits vor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C-476/2012 vom 19. Juli 2012 E. 4.4 mit Hinweis).</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mit Hinweisen).</w:t>
      </w:r>
    </w:p>
    <w:p>
      <w:r>
        <w:rPr>
          <w:b/>
        </w:rPr>
        <w:t>E. 6</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7.1</w:t>
      </w:r>
    </w:p>
    <w:p>
      <w:r>
        <w:t>Aufgrund der Ereignisse im Umfeld von Eheschliessung und Einbürgerung geht die Vorinstanz von der Vermutung aus, der Beschwerdeführer habe spätestens im Einbürgerungszeitpunkt nicht mehr in einer stabilen und zukunftsgerichteten Ehe mit seiner Schweizer Ehefrau gelebt. Dieser habe sich mit der gegenteiligen Erklärung vom 30. Juli 2008 seine erleichterte Einbürgerung erschlichen.</w:t>
      </w:r>
    </w:p>
    <w:p>
      <w:r>
        <w:rPr>
          <w:b/>
        </w:rPr>
        <w:t>E. 7.2</w:t>
      </w:r>
    </w:p>
    <w:p>
      <w:r>
        <w:t>Aus dem Akteninhalt geht hervor, dass der Beschwerdeführer im November 2002 in die Schweiz einreiste, ein Asylgesuch stellte und gegen den ablehnenden Entscheid vom 3. September 2003 Rechtsmittel einlegte. Am 30. September 2003 lernte er die 19 Jahre ältere B.Z._______, geb. B.Y._______ kennen (vgl. deren insoweit unbestrittene Angaben) und heiratete sie am 11. Februar 2004. Einen Tag später zog er die gegen den negativen Asylentscheid erhobene Beschwerde zurück. Noch vor Erreichen der gesetzlich erforderlichen Wohnsitzdauer (vgl. Art. 27 Abs. 1 Bst. a BüG) ersuchte er am 27. November 2007 um erleichterte Einbürgerung. Am 30. Juli 2008 unterzeichneten er und seine Ehefrau die Erklärung zur ehelichen Gemeinschaft; mit Verfügung vom 1. Oktober 2008 wurde er erleichtert eingebürgert. Ab August 2009 bewohnten die Ehegatten im Haus der Ehefrau getrennte Räume, und Mitte Januar 2010 zog der Beschwerdeführer in eine eigene Wohnung. Er ersuchte am 10. September 2010 um Erlass von Eheschutzmassnahmen. Unter Genehmigung einer am 19./22. November 2010 getroffenen Scheidungsvereinbarung wurde die Ehe am 7. Dezember 2010 rechtskräftig geschieden. Am 11. Mai 2011 verheiratete sich der Beschwerdeführer in Bangladesch mit einer 7 Jahre jüngeren Frau.</w:t>
      </w:r>
    </w:p>
    <w:p>
      <w:r>
        <w:rPr>
          <w:b/>
        </w:rPr>
        <w:t>E. 7.3</w:t>
      </w:r>
    </w:p>
    <w:p>
      <w:r>
        <w:t>Der geschilderte Geschehensablauf zeigt, dass die Einreise des Beschwerdeführers, sein abgelehntes Asylgesuch, das Kennenlernen der künftigen Ehefrau, Heirat und Einbürgerungsgesuch in Abständen aufeinander folgten, die kaum wesentlich kürzer hätten sein können. Dies spricht durchaus für ein planmässiges Vorgehen zur Erlangung des Schweizer Bürgerrechts. Entkräftet wird diese Vermutung auch nicht dadurch, dass zwischen dem Zeitpunkt der Einbürgerung, der Aufnahme des Getrenntlebens unter einem Dach und dem Wechsel des Wohnorts Zeitspannen von rund zehn bzw. fünfeinhalb Monaten liegen. Hierfür hat B.Y._______ die plausible Erklärung abgegeben, ihr Ehemann habe so lange wie möglich mit ihr verheiratet bleiben wollen, damit "ihm der Pass nicht mehr entzogen wird"; seinen Auszug habe er teils durch Bitten, teils durch Drohungen hinauszögern können (vgl. ihre Stellungnahme vom 27. August 2012, S. 52 der Vorakten). Die weiteren Ereignisse, Eheschutzbegehren, Scheidung und erneute Heirat des Beschwerdeführers, folgten wiederum in Abständen von wenigen Monaten aufeinander und stützen die Annahme, dass dieser mit der Erlangung des schweizerischen Bürgerrechts eigene Wege gehen wollte.</w:t>
      </w:r>
    </w:p>
    <w:p>
      <w:r>
        <w:rPr>
          <w:b/>
        </w:rPr>
        <w:t>E. 8</w:t>
      </w:r>
    </w:p>
    <w:p>
      <w:r>
        <w:t>Die somit von der Vorinstanz zurecht aufgestellte Vermutung der erschlichenen Einbürgerung führt zur Frage, ob die vom Beschwerdeführer vorgebrachten Argumente eine andere Schlussfolgerung erlauben.</w:t>
      </w:r>
    </w:p>
    <w:p>
      <w:r>
        <w:rPr>
          <w:b/>
        </w:rPr>
        <w:t>E. 8.1</w:t>
      </w:r>
    </w:p>
    <w:p>
      <w:r>
        <w:t>Der Beschwerdeführer hat geltend gemacht, seine Heirat sei nicht erfolgt, um einer Wegweisung zu entgehen; vielmehr seien seine Chancen, im Rechtsmittelverfahren Asyl zu erhalten, intakt gewesen. Die Asylakten stützen diese Behauptung allerdings nicht. Der erstinstanzliche Entscheid vom 3. September 2003 hält zusammenfassend fest, dass das Asylvorbringen nicht glaubhaft sei und dass "aufgrund der Signifikanz und Eindeutigkeit der dargelegten Widersprüche" darauf verzichtet werde, "auf weitere - zahlreich vorhandene - Unstimmigkeiten einzugehen". Derartige Widersprüche ergaben sich nach Ansicht der Behörde u.a. daraus, dass der Beschwerdeführer bei seiner Befragung in der Empfangsstelle Fluchtgründe für einen Zeitraum vorgebracht hatte, in der er sich bereits in Deutschland aufhielt (vgl. Entscheid des Bundesamtes für Flüchtlinge [BFF] vom 3. September 2003 E. 1 und 2). Dies, sowie der Umstand, dass er vor seiner Einreise in die Schweiz rund 10 Jahre in Deutschland mit einem auch dort abgewiesenen Asylgesuch lebte, spricht jedenfalls gegen die Erfolgsaussichten seiner gegen den negativen Asylentscheid des BFF erhobenen Beschwerde. Umso mehr wird deutlich, dass sich die Eheschliessung mit einer Schweizerin als Mittel zum weiteren rechtmässigen Verbleib anbot.</w:t>
      </w:r>
    </w:p>
    <w:p>
      <w:r>
        <w:rPr>
          <w:b/>
        </w:rPr>
        <w:t>E. 8.2</w:t>
      </w:r>
    </w:p>
    <w:p>
      <w:r>
        <w:t>Für den Zeitpunkt seiner erleichterten Einbürgerung behauptet der Beschwerdeführer das Bestehen einer stabilen ehelichen Gemeinschaft und gibt seiner Ex-Ehefrau die Schuld daran, dass die Ehe im darauffolgenden Sommer zerbrochen sei. Auslöser hierfür sei gewesen, dass diese ihrer verheirateten Freundin und deren Liebhaber die Möglichkeit, sich zu treffen, gewährt habe und er dies nicht mehr habe hinnehmen wollen.</w:t>
      </w:r>
    </w:p>
    <w:p>
      <w:r>
        <w:rPr>
          <w:b/>
        </w:rPr>
        <w:t>E. 8.2.1</w:t>
      </w:r>
    </w:p>
    <w:p>
      <w:r>
        <w:t>Dass derartige - eher banale - Zwistigkeiten zur Zerstörung der Ehe führen konnten, ist wenig wahrscheinlich, zumal der Beschwerdeführer behauptet, zunächst "noch auf eine Versöhnung und Rettung der Ehe" gehofft zu haben. Welche Schritte er selbst dazu unternommen hat, wird von ihm jedoch nicht dargelegt. Zudem erfolgte sein Auszug aus dem gemeinsam bewohnten Haus relativ rasch, nämlich fünf bis sechs Monate nach den angeblichen Auseinandersetzungen der Ehegatten und ihrer damit einhergehenden räumlichen Trennung. Dass der Beschwerdeführer eigenen Worten zufolge über diese Entwicklung "traurig" war, sie aber nachweislich nicht - beispielsweise durch Inanspruchnahme professioneller Hilfe - abzuwenden versuchte, lässt sein Vorbringen wenig glaubhaft erscheinen.</w:t>
      </w:r>
    </w:p>
    <w:p>
      <w:r>
        <w:rPr>
          <w:b/>
        </w:rPr>
        <w:t>E. 8.2.2</w:t>
      </w:r>
    </w:p>
    <w:p>
      <w:r>
        <w:t>Die Behauptung des Beschwerdeführers, er habe die Beziehung des sich zeitweilig in der ehelichen Wohnung aufhaltenden Liebespaares anstössig gefunden und sich zudem auch nicht strafbar machen wollen, erscheint als Grund für das eheliche Zerwürfnis eher vorgeschoben. Bezüglich beider Personen - die mittlerweile verheiratet sind - hatte sich der Beschwerdeführer anonym an die kantonale Migrationsbehörde gewandt, was dazu führte, dass gegen ihn selbst ein Ermittlungsverfahren wegen Verleumdung eingeleitet wurde. Bei seiner Einvernahme als Beschuldigter vom 23. August 2011 gab er zu, den seinerzeit hier illegal anwesenden D._______ - jetzt Ehemann der Freundin seiner Ex-Ehefrau - seit 2003 zu kennen. Dieser habe ihm, so der Beschwerdeführer, zwei Ausweise zur Aufbewahrung gegeben, einer lautend auf den Namen D._______, der andere, in Kopie, lautend auf den Namen E._______. D._______, der damals in Genf schwarz gearbeitet habe, habe ihm auch gesagt, dass bei der Ausweiskopie das Passfoto ausgewechselt worden sei (vgl. Einvernahmeprotokoll der Polizei Basel-Landschaft, Beschwerde-Beilage 4). Diese Auskünfte sowie der Umstand, dass der Beschwerdeführer anlässlich der Einvernahme beide Ausweise vorlegte, zeugt von einer vertrauten und illegale Machenschaften deckenden Beziehung der beiden Männer. Dass besonders hochstehende Moralvorstellungen des Beschwerdeführers Auslöser für die eheliche Trennung waren, kann daher nicht geglaubt werden. Aus dem gleichen Grunde, aber auch angesichts der nicht identischen Konstellation irrelevant ist sein Hinweis auf einen Bekannten aus Bangladesch, der wegen der Beherbergung des seinerzeit illegal anwesenden D._______ bestraft worden sei.</w:t>
      </w:r>
    </w:p>
    <w:p>
      <w:r>
        <w:rPr>
          <w:b/>
        </w:rPr>
        <w:t>E. 8.2.3</w:t>
      </w:r>
    </w:p>
    <w:p>
      <w:r>
        <w:t>Dass sich D._______ alias E._______ und seine spätere Ehefrau im Hause der Ehegatten (...) trafen, wird mit den vorherigen Erwägungen nicht in Abrede gestellt. Plausibel ist allerdings nicht, dass diese Treffen - jedenfalls nicht aus den vom Beschwerdeführer behaupteten Gründen - zum Zerwürfnis zwischen ihm und seiner Ehefrau führten.</w:t>
      </w:r>
    </w:p>
    <w:p>
      <w:r>
        <w:rPr>
          <w:b/>
        </w:rPr>
        <w:t>E. 8.3</w:t>
      </w:r>
    </w:p>
    <w:p>
      <w:r>
        <w:t>Die von der Vorinstanz dargelegte und vermutungsweise gegen den ihn sprechende Chronologie der Ereignisse kann der Beschwerdeführer auch nicht mit der blossen Behauptung entkräften, dass die Ehegatten "während und nach dem Einbürgerungsverfahren durchaus viel Freizeit miteinander teilten und grosse Reisen zusammen unternahmen". Mit dem Hinweis auf zuvor gemeinsam verbrachte Ferien - zuletzt im April 2008 und somit noch vor Unterzeichnung der Erklärung zur ehelichen Gemeinschaft - versucht der Beschwerdeführer plausibel zu machen, dass solche Urlaube auch später noch selbstverständlich gewesen seien. Eine derartige Schlussfolgerung lässt sich jedoch nicht ziehen, und auch B.Y._______ hat im Rahmen ihrer schriftlichen Befragung angegeben, dass nach der Einbürgerung ihres Ehemannes keine gemeinsamen Ferien mehr stattgefunden hätten. Ihre Auskünfte sind auch ansonsten in sich schlüssig und passen zur Vermutung, die sich aus der Chronologie der Ereignisse ableitet. Der Beschwerdeführer selbst liefert keine nachvollziehbare Erklärung für seine Behauptung, dass den Angaben seiner Ex-Ehefrau kein Glauben zu schenken sei.</w:t>
      </w:r>
    </w:p>
    <w:p>
      <w:r>
        <w:rPr>
          <w:b/>
        </w:rPr>
        <w:t>E. 9</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 Die angefochtene Verfügung ist somit als rechtmässig und angemessen zu bestätigen (Art. 49 VwVG) und die Beschwerde demzufolge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