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C-4529/2014 vom 30. Juni 2015</w:t>
      </w:r>
    </w:p>
    <w:p>
      <w:r>
        <w:t>Bundesverwaltungsgericht, 2015-06-30, FR</w:t>
      </w:r>
    </w:p>
    <w:p>
      <w:r>
        <w:rPr>
          <w:b/>
        </w:rPr>
        <w:t xml:space="preserve">Quelle: </w:t>
      </w:r>
      <w:r>
        <w:t>https://mcp.opencaselaw.ch/entscheid/bvger_C-4529_2014</w:t>
      </w:r>
    </w:p>
    <w:p>
      <w:r>
        <w:t>FR: TAF C-4529/2014 du 30 juin 2015</w:t>
      </w:r>
    </w:p>
    <w:p>
      <w:r>
        <w:t>IT: TAF C-4529/2014 del 30 giugno 2015</w:t>
      </w:r>
    </w:p>
    <w:p>
      <w:pPr>
        <w:pStyle w:val="Heading2"/>
      </w:pPr>
      <w:r>
        <w:t>Regeste</w:t>
      </w:r>
    </w:p>
    <w:p>
      <w:r>
        <w:t>Visa Schengen</w:t>
      </w:r>
    </w:p>
    <w:p>
      <w:pPr>
        <w:pStyle w:val="Heading2"/>
      </w:pPr>
      <w:r>
        <w:t>Erwägungen</w:t>
      </w:r>
    </w:p>
    <w:p>
      <w:r>
        <w:rPr>
          <w:b/>
        </w:rPr>
        <w:t>E. 1.1</w:t>
      </w:r>
    </w:p>
    <w:p>
      <w:r>
        <w:t>Sous réserve des exceptions prévues à l'art. 32 LTAF, le TAF,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TAF qui statue définitive­ment (cf. art. 1 al. 2 LTAF en relation avec l'art. 83 let. c ch. 1 LTF).</w:t>
      </w:r>
    </w:p>
    <w:p>
      <w:r>
        <w:rPr>
          <w:b/>
        </w:rPr>
        <w:t>E. 1.2</w:t>
      </w:r>
    </w:p>
    <w:p>
      <w:r>
        <w:t>A moins que la LTAF n'en dispose autrement, la procédure devant le TAF est régie par la PA (cf. art. 37 LTAF).</w:t>
      </w:r>
    </w:p>
    <w:p>
      <w:r>
        <w:rPr>
          <w:b/>
        </w:rPr>
        <w:t>E. 1.3</w:t>
      </w:r>
    </w:p>
    <w:p>
      <w:r>
        <w:t>A._______ et B._______, qui ont pris part à la procédure devant l'autorité inférieure, ont qualité pour recourir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André Moser et al., Pro­zessieren vor dem Bundesverwaltungsgericht, Handbücher für die Anwaltspraxis, Tome X, 2ème éd. 2013, pp. 226/227 ch. 3.197; Moor / Poltier, Droit administratif, vol. II, 2011, pp. 300 et 301 ch. 2.2.6.5). Aussi peut-elle admettre ou rejeter le pourvoi pour d'autres motifs que ceux invoqués (cf. notamment ATAF 2007/41 consid. 2, et réf. citées; Moser et al., op. cit., p. 24 ch. 1.54; Moor / Poltier, op. cit., pp. 300 et 301ch. 2.2.6.5). Dans son arrêt, elle prend en considération l'état de fait ré­gnant au moment où elle statue (cf. ATAF 2014/1 consid. 2, et jurispru­dence citée).</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3469, ch. 1.2.6 p. 3493). Aussi, elles ne peuvent accueillir tous les étrangers qui désirent venir dans ce pays, que ce soit pour des séjours de courte ou de longue durée et peuvent donc légitimement appli­quer une politique restrictive d'admission (cf. notamment ATF 135 I 143 consid. 2.2; voir également arrêt du TAF C-305/2014 du 15 décembre 2014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précité, FF 2002 3469, ch. 2.2 p. 3531, ad art. 3 du projet de loi; voir également ATF 135 II 1 consid. 1.1; ATAF 2014/1 consid. 4.1.1; 2011/48 consid. 4.1;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TAF l'a souligné dans sa jurispru­dence, la réglementation Schengen ne confère, pas plus que la législa­tion suisse, de droit à l'entrée dans l'Espace Schengen, ni de droit à l'octroi d'un visa (cf. ATAF 2014/1 consid. 4.1.1 et 4.1.5; 2011/48consid.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 [voir également ATAF 2009/27 consid. 4]). S'agissant des conditions d'entrée en Suisse pour un séjour n'excédant pas 90 jours, l'art. 2 al. 1 de l'ordonnance du 22 octobre 2008 sur l'entrée et l'octroi de visas (OEV, RS 142.204) renvoie au Règlement (CE)no 562/2006 du Parlement européen et du Conseil du 15 mars 2006 éta­blissant un code communautaire relatif au franchissement des frontières par les personnes (code frontières Schengen [JO L 105 du 13 avril 2006 p. 1-32]), dont l'art. 5 a été modifié par le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à l'art. 5 LEtr (cf. notamment ATAF 2009/27 consid. 5.1; arrêt du TAF C-305/2014 consid. 4.2). 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w:t>
      </w:r>
    </w:p>
    <w:p>
      <w:r>
        <w:rPr>
          <w:b/>
        </w:rPr>
        <w:t>E. 4.2</w:t>
      </w:r>
    </w:p>
    <w:p>
      <w:r>
        <w:t>Si les conditions pour l'octroi d'un visa uniforme pour l'Espace Schen­gen ne sont pas remplies, un Etat membre peut, à titre exceptionnel, déli­vrer au ressortissant d'un Etat tiers qui ne remplit pas les conditions ordi­naires d'entrée, un visa à validité territoriale limitée (ci-après: un visa VTL) notamment pour des motifs humanitaires ou d'intérêt national ou en raison d'obligations internationales (cf. art. 12 al. 1 en relation avec l'art. 2 al. 4 OEV, art. 32 par. 1 en relation avec l'art. 25 par. 1 let. a et par. 2 du code des visas, et art. 5 par. 4 let. c du code frontières Schengen).</w:t>
      </w:r>
    </w:p>
    <w:p>
      <w:r>
        <w:rPr>
          <w:b/>
        </w:rPr>
        <w:t>E. 4.3</w:t>
      </w:r>
    </w:p>
    <w:p>
      <w:r>
        <w:t>Le Règlement (CE) no 539/2001 du Conseil du 15 mars 2001 (JOL 81 du 21 mars 2001, p. 1-7) différencie, en son art. 1 par. 1 et 2, les ressortissants des Etats tiers selon qu'ils sont soumis ou non à l'obliga­tion du visa. En sa qualité de ressortissante du Kosovo, C._______ est soumise à l'obligation du visa.</w:t>
      </w:r>
    </w:p>
    <w:p>
      <w:r>
        <w:rPr>
          <w:b/>
        </w:rPr>
        <w:t>E. 5</w:t>
      </w:r>
    </w:p>
    <w:p>
      <w:r>
        <w:t>Dans la décision querellée, l'ODM a refusé d'autoriser l'entrée en Suisse de C._______ au motif notamment que son départ à l'échéance du visa sollicité n'apparaissait pas suffisamment garantie.</w:t>
      </w:r>
    </w:p>
    <w:p>
      <w:r>
        <w:rPr>
          <w:b/>
        </w:rPr>
        <w:t>E. 5.1</w:t>
      </w:r>
    </w:p>
    <w:p>
      <w:r>
        <w:t>C'est le lieu de rappeler que, selon une pratique constante des autorités, une autorisation d'entrée en Suisse et dans l'Espace Schengen ne peut être délivrée à des étrangers dont le retour dans le pays où ils résident n'est pas assuré, soit en raison de la situation politique ou économique prévalant dans celui-ci, soit en raison de la situation personnelle du requérant ou de la requérante.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favorable que celle que connaît la Suisse puisse influencer le comporte­ment de la personne intéressée (cf., sur les points qui précèdent, no­tamment les arrêts du Tribunal administratif fédéral C-328/2013 du 24 juin 2014 consid. 5.1 à 5.3, C-3022/2013 du 11 mars 2014 consid. 5.1).</w:t>
      </w:r>
    </w:p>
    <w:p>
      <w:r>
        <w:rPr>
          <w:b/>
        </w:rPr>
        <w:t>E. 5.2</w:t>
      </w:r>
    </w:p>
    <w:p>
      <w:r>
        <w:t>Au regard de la situation socio-économique et politique prévalant au Kosovo, on ne saurait de prime abord écarter les craintes de l'autorité inférieure de voir C._______ prolonger son séjour en Suisse ou dans l'Espace Schengen au-delà de la date d'échéance du visa sollicité. A ce sujet, il faut prendre en considération les conditions économiques et sociales particulièrement difficiles que connaît l'ensemble de la population au Kosovo. Bien que l'économie du pays poursuive sa lente croissance, les disparités économiques avec la Suisse demeurent, sept ans après la proclamation de l'indépendance, considérables. Le fait que le produit intérieur brut (PIB) par habitant en 2013 s'élevait à environ 2'794 pour le Kosovo et à environ 78'000 (2013) pour la Suisse en constitue une preuve évidente. La République du Kosovo est l'un des pays les plus pauvres d'Europe avec près de 29,7 % de la population vivant sous le seuil de pauvreté (sources: le site internet du Ministère français des Affaires étrangères: www.diplomatie.gouv.fr &gt; Dossiers pays &gt; Kosovo &gt; présentation; mise à jour le 17 février 2015; le site internet de l'Office fédéral de la statistique www.bfs.admin.ch &gt; Thèmes &gt; 04 - Eco­nomie nationale &gt; Comptes nationaux &gt; Produit intérieur brut &gt; PIB par habitant; sites consultés en juin 2015). Ces conditions de vie défavorables peuvent s'avérer décisives lorsqu'une personne prend la décision de quitter sa patrie, en ce sens qu'elles ne sont pas sans exercer une pression migratoire importante sur la popula­tion. Cette tendance migratoire est encore renforcée, comme l'expérience l'a démontré, lorsque la personne concernée peut s'appuyer sur un ré­seau social existant (parenté, amis), comme cela est précisément le cas en l'espèce par la présence sur le territoire helvétique des époux A._______ et B._______. A cela s'ajoute le risque migratoire non négligeable qui prévaut en la présente cause. En effet, le Kosovo restait toujours, en 2014, l'un des principaux pays de provenance de requérants d'asile avec 405 demandes enregistrées durant cette année. (cf. Commentaire sur la statistique en matière d'asile 2014, en ligne sur le site internet du SEM &gt; Documentation &gt; Statistiques &gt; Statistiques d'asile et des étrangers &gt; Statistiques annuelles; site consulté en juin 2015). Au vu de ces éléments, force est de reconnaître que le risque migratoire que présente la requête de visa déposée par C._______ en date du 27 juin 2014 ne saurait être sous-estimé.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(cf.ATAF 2014/1 consid. 6.3.1,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ATAF 2014/1 consid. 6.3.1; arrêt du Tribunal administratif fédéral C-2942/2013 du 17 février 2014 consid. 5.2, et références citées). 6.Il convient dès lors d'examiner si la situation personnelle, familiale et patrimoniale de C._______ plaide en faveur de sa sortie ponctuelle respectivement de Suisse et de l'Espace Schengen, à l'expiration de son visa, compte tenu par ailleurs du but du séjour qu'elle envisage d'effectuer en Suisse. Dans le cas présent, le Tribunal retient en premier lieu que la prénommée, veuve et retraitée de 73 ans, ne présente pas, de prime abord, un profil migratoire à risque. Le Tribunal ne saurait toutefois faire abstraction de son âge avancé. C._______ se trouve en effet dans une tranche d'âge où des complications médicales peuvent survenir rapidement, de manière imprévisible et nécessiter des soins importants. Or, en présence d'une personne âgée en provenance d'un pays à la situation sanitaire moins favorable, les craintes que celle-ci prolonge, volontairement ou non, son séjour dans un pays de l'Espace Schengen en raison des infrastructures médicales supérieures à disposition et d'une prise en charge plus adéquate liées à son état de santé sont bien réelles et ne sauraient être sous-évaluées. Pour contrebalancer ces craintes, il faudrait être en présence d'éléments particulièrement forts et concrets à même de garantir le retour de la personne concernée, ce qui n'est pas le cas en l'espèce. Le Tribunal doit par ailleurs constater, sur un autre plan, que la situation financière et la prise en charge de la requérante au Kosovo n'apparaissent pas clairement établies, dès lors qu'elle a fourni des informations contradictoires au sujet de sa situation familiale dans son pays. Il appert ainsi que le certificat de famille ("Declaration of joint household") que C._______ a joint à sa demande de visa ne mentionne que son fils D._______, alors la prénommée a ensuite expliqué, lors de son entrevue à la représentation suisse à Pristina, qu'elle vivait de fait en communauté domestique également avec sa belle-fille et ses six petits-enfants. Or, ces déclarations contradictoires contribuent à faire planer un doute sur sa situation personnelle et ses conditions d'existence au Kosovo. Aussi, sans pour autant minimiser l'importance des raisons d'ordre affectif qui motivent sa demande de visa Schengen, le Tribunal ne saurait admettre, au vu de l'ensemble des éléments du dossier, que le retour de C._______ au Kosovo au terme de l'autorisation requise puisse être considéré comme suffisamment garanti. Les conditions d'entrée prévues par le code frontières Schengen concernant la garantie que l'intéressée quittera la Suisse dans le délai fixé n'étant pas remplies in casu, c'est donc de manière fondée que l'autorité inférieure a écarté l'opposition du 9 juillet 2014 et confirmé le refus de lui octroyer une autorisation d'entrée dans l'Espace Schengen.</w:t>
      </w:r>
    </w:p>
    <w:p>
      <w:r>
        <w:rPr>
          <w:b/>
        </w:rPr>
        <w:t>E. 7.1</w:t>
      </w:r>
    </w:p>
    <w:p>
      <w:r>
        <w:t>Le Tribunal relève enfin que le désir exprimé par les intéressés de pouvoir se rencontrer en Suisse pour une visite familiale ne constitue pas à lui seul un motif justifiant l'octroi du visa sollicité, à propos duquel ils ne sauraient au demeurant se prévaloir d'aucun droit (cf. consid. 3 supra). Certes, il peut, du moins à première vue, sembler sévère de refuser à une personne l'autorisation d'entrer dans un pays où résident des membres de sa famille. Il convient toutefois de noter que cette situation ne diffère pas de celle de nombreux étrangers dont la parenté demeure également en Suisse.</w:t>
      </w:r>
    </w:p>
    <w:p>
      <w:r>
        <w:rPr>
          <w:b/>
        </w:rPr>
        <w:t>E. 7.2</w:t>
      </w:r>
    </w:p>
    <w:p>
      <w:r>
        <w:t>Au demeurant, il convient d'observer qu'un refus d'autorisation d'entrée dans l'Espace Schengen prononcé par les autorités helvétiques n'a pas en l'occurrence pour conséquence d'empêcher les intéressés de se voir, puisqu'ils peuvent tout aussi bien se rencontrer hors de Suisse, notamment au Kosovo. A cela s'ajoute que ceux-ci ont la possibilité de maintenir leurs contacts familiaux par d'autres moyens, tels que la communication téléphonique et l'échange épistolaire. Enfin, il sied de relever que les recourants n'ont pas invoqué à l'appui de leur pourvoi de raisons susceptibles de justifier la délivrance d'un visa à validité territoriale limitée (cf. consid. 4.2 supra). Dans ce contexte, il convient de noter que le refus d'autorisation d'entrée prononcé à l'endroit de C._______ ne constitue pas une ingérence inadmissible dans l'exercice du droit au respect de la vie privée et familiale consacré par l'art. 8 CEDH (cf. notamment arrêt du Tribunal administratif fédéral C-1369/2012 du 19 avril 2013 consid. 7, et jurisprudence citée).</w:t>
      </w:r>
    </w:p>
    <w:p>
      <w:r>
        <w:rPr>
          <w:b/>
        </w:rPr>
        <w:t>E. 7.3</w:t>
      </w:r>
    </w:p>
    <w:p>
      <w:r>
        <w:t>Enfin, il sied de relever que les recourants n'ont pas invoqué à l'appui de leur pourvoi de raisons susceptibles de justifier la délivrance d'un visa à validité territoriale limitée (cf. consid. 4.2 ci-avant). 8.Il s'ensuit que, par sa décision du 6 août 2014, l'autorité de première instance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