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C-450/2012 vom 13. April 2012</w:t>
      </w:r>
    </w:p>
    <w:p>
      <w:r>
        <w:t>Bundesverwaltungsgericht, 2012-04-13, DE</w:t>
      </w:r>
    </w:p>
    <w:p>
      <w:r>
        <w:rPr>
          <w:b/>
        </w:rPr>
        <w:t xml:space="preserve">Quelle: </w:t>
      </w:r>
      <w:r>
        <w:t>https://mcp.opencaselaw.ch/entscheid/bvger_C-450_2012</w:t>
      </w:r>
    </w:p>
    <w:p>
      <w:r>
        <w:t>FR: TAF C-450/2012 du 13 avril 2012</w:t>
      </w:r>
    </w:p>
    <w:p>
      <w:r>
        <w:t>IT: TAF C-450/2012 del 13 aprile 2012</w:t>
      </w:r>
    </w:p>
    <w:p>
      <w:pPr>
        <w:pStyle w:val="Heading2"/>
      </w:pPr>
      <w:r>
        <w:t>Regeste</w:t>
      </w:r>
    </w:p>
    <w:p>
      <w:r>
        <w:t>Schengen-Visum</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Verwaltungsverfahrensgesetzes vom 20. De­zember 1968 (VwVG, SR 172.021), welche von einer in Art. 33 VGG aufgeführten Behörde erlassen wurden. Darunter fallen u.a. Verfügungen des BFM, mit denen die Erteilung eines Schengen-Visums zu Besuchszwecken verweigert wird. In dieser Materie entscheidet das Bun­desverwaltungsgericht endgültig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Der Beschwerdeführer ist gemäss Art. 48 Abs. 1 VwVG zur Beschwerde berechtigt. Auf die im Übrigen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(BVGE 2011/1 E. 2 mit Hinweis).</w:t>
      </w:r>
    </w:p>
    <w:p>
      <w:r>
        <w:rPr>
          <w:b/>
        </w:rPr>
        <w:t>E. 3</w:t>
      </w:r>
    </w:p>
    <w:p>
      <w:r>
        <w:t>Der angefochtenen Verfügung liegt das Gesuch einer philippinischen Staatsangehörigen um Erteilung eines Visums für einen dreimonatigen Aufenthalt in der Schweiz zugrunde. Da sich die Gesuchstellerin nicht auf die EU/EFTA-Personenfreizügigkeitsabkommen berufen kann und die beabsichtigte Aufenthaltsdauer drei Monate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vom 16. De­zember 2005 (AuG, SR 142.20) und seine Ausführungsverordnung gelangen nur soweit zur Anwendung, als die Schengen-Assoziierungs­abkommen keine abweichenden Bestimmungen enthalten (Art. 2 Abs. 2 bis Abs. 5 AuG).</w:t>
      </w:r>
    </w:p>
    <w:p>
      <w:r>
        <w:rPr>
          <w:b/>
        </w:rPr>
        <w:t>E. 4</w:t>
      </w:r>
    </w:p>
    <w:p>
      <w:r>
        <w:t>Die Voraussetzungen für die Erteilung eines Visums präsentieren sich im Anwendungsbereich der erwähnten Rechtsgrundlagen wie folgt:</w:t>
      </w:r>
    </w:p>
    <w:p>
      <w:r>
        <w:rPr>
          <w:b/>
        </w:rPr>
        <w:t>E. 4.1</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(a.M. Philipp Egli / Tobias D. Meyer, in: Martina Caroni / Thomas Gächter / Daniela Thurn­herr [Hrsg.], Stämpflis Handkommentar zum Bundesgesetz über die Auslän­derinnen und Ausländer, Bern 2010, Art. 5 N. 3 f.).</w:t>
      </w:r>
    </w:p>
    <w:p>
      <w:r>
        <w:rPr>
          <w:b/>
        </w:rPr>
        <w:t>E. 4.2</w:t>
      </w:r>
    </w:p>
    <w:p>
      <w:r>
        <w:t>Angehörige von Drittstaaten dürfen über die Aussengrenzen des Schengen-Raums für einen Aufenthalt von höchstens drei Monaten je Sechsmonatszeitraum einreisen, wenn sie im Besitz gültiger Reisedoku­mente sind, die zum Grenzübertritt berechtigen. Ferner benötigen sie ein Visum, falls ein solches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erforderlich ist.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 Art. 4 VEV).</w:t>
      </w:r>
    </w:p>
    <w:p>
      <w:r>
        <w:rPr>
          <w:b/>
        </w:rPr>
        <w:t>E. 4.3</w:t>
      </w:r>
    </w:p>
    <w:p>
      <w:r>
        <w:t>Im Weiteren müssen Drittstaatsangehörige den Zweck und die Um­stände ihres beabsichtigten Aufenthalts belegen und hierfür über ausrei­chende finanzielle Mittel verfügen (Art. 5 Abs. 1 Bst. b AuG, Art. 2 Abs. 1 VEV, Art. 5 Abs. 1 Bst. c und Abs. 3 SGK sowie Art. 14 Abs. 1 Bst. a-c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vgl. dazu Philipp Egli / Tobias D. Meyer, a.a.O. Art. 5 N. 33). Weiterhin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e SGK).</w:t>
      </w:r>
    </w:p>
    <w:p>
      <w:r>
        <w:rPr>
          <w:b/>
        </w:rPr>
        <w:t>E. 4.4</w:t>
      </w:r>
    </w:p>
    <w:p>
      <w:r>
        <w:t>Eine Gefahr für die öffentliche Ordnung im Sinne von Art. 5 Abs. 1 Bst. e SGK ist auch dann anzunehmen, wenn die drittstaatsangehörige Person nicht bereit ist, das Hoheitsgebiet des Schengen-Raums fristgerecht wie­der zu verlassen (vgl. dazu Philipp Egli / Tobias D. Meyer, a.a.O., Art. 5 N. 33; ferner Urteil des deutschen Bundesverwaltungsgerichts 1 C. 1.10 vom 11. Januar 2011 Rz. 29). Die Behörden haben daher zu prüfen und drittstaatsangehörige Personen zu belegen, dass die Gefahr einer rechtswidrigen Einwanderung oder einer nicht fristgerechten Ausreise nicht besteht (Art. 14 Abs. 1 Bst. d und Art. 21 Abs. 1 Visakodex). Die Gewähr der gesicherten Wiederausreise, wie sie Art. 5 Abs. 2 AuG verlangt, wenn nur ein vorübergehender Aufenthalt vorgesehen ist, steht mit dieser Regelung im Einklang (vgl. BVGE 2009/27 E. 5 mit Hervorhebung des Zusammenhangs zum Einreiseerfordernis des belegten Aufenthaltszwecks nach Art. 5 Abs. 1 Bst. c SGK).</w:t>
      </w:r>
    </w:p>
    <w:p>
      <w:r>
        <w:rPr>
          <w:b/>
        </w:rPr>
        <w:t>E. 4.5</w:t>
      </w:r>
    </w:p>
    <w:p>
      <w:r>
        <w:t>Sind die vorerwähnten Einreisevoraussetzungen (Visum ausgenom­men) nicht erfüllt, darf ein für den gesamten Schengen-Raum geltendes "einheitliches Visum" (Art. 2 Ziff. 3 Visakodex) nicht erteilt werden (Art. 12 VEV, Art. 32 SGK).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5 Abs. 4 Bst. c SGK).</w:t>
      </w:r>
    </w:p>
    <w:p>
      <w:r>
        <w:rPr>
          <w:b/>
        </w:rPr>
        <w:t>E. 5.1</w:t>
      </w:r>
    </w:p>
    <w:p>
      <w:r>
        <w:t>Die Gesuchstellerin unterliegt als philippinische Staatsangehörige der Visumspflicht (Anhang I zur Verordnung [EG] Nr. 539/2001 des Rates vom 15. März 2001). Bei der Prüfung der Einreisevoraussetzungen nach Art. 5 Abs. 1 SGK steht die Frage der gesicherten Wiederausreise im Vordergrund, welche die Vorinstanz aufgrund der allgemeinen Lage im Heimatland sowie der persönlichen Verhältnisse der Gesuchstellerin anzweifelt. Dazu lassen sich in der Regel keine gesicherten Feststellungen, sondern lediglich Prognosen treffen. Dabei sind sämtliche Umstände des konkreten Einzelfalles zu würdigen.</w:t>
      </w:r>
    </w:p>
    <w:p>
      <w:r>
        <w:rPr>
          <w:b/>
        </w:rPr>
        <w:t>E. 5.2</w:t>
      </w:r>
    </w:p>
    <w:p>
      <w:r>
        <w:t>Anhaltspunkte zur Beurteilung der Gewähr für eine fristgerechte Wiederausreise können sich aus der allgemeinen Situation im Herkunfts­land der Besucherin oder des Besuchers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in Ein­klang steht.</w:t>
      </w:r>
    </w:p>
    <w:p>
      <w:r>
        <w:rPr>
          <w:b/>
        </w:rPr>
        <w:t>E. 5.3</w:t>
      </w:r>
    </w:p>
    <w:p>
      <w:r>
        <w:t>Auf den Philippinen sind breite Bevölkerungsschichten von ver­gleichs­weise kargen wirtschaft­lichen und sozialen Lebensbedingungen be­troffen. Obwohl das Land in den letzten Jahren stabile wirtschaftliche Wachstumsraten verzeichnete, bleibt die Armut ein ungelöstes Prob­lem. Nach Angaben der Weltbank ist der Anteil der unter der Armuts­grenze lebenden Bevölkerung sogar von 30% im Jahre 2003 auf 33% im Jahr 2006 gestiegen. Aktuellere Zahlen liegen keine vor. Auch die Arbeitslo­sigkeit und die Unterbeschäftigung bleiben ein drängendes Prob­lem. Die Arbeitslosenrate ist zwar 2011 leicht gesunken und betrug noch 6,4% (geschätzt). Zu den offiziell Arbeitslosen kommen aber ungefähr 19% Unterbeschäftigte dazu, deren Anteil 2011 gestiegen sein dürfte. Jedes Jahr verlassen mehr als 1 Mio. Perso­nen das Land, um im Ausland Arbeit zu suchen, wobei die Tendenz zunehmend ist. Die Entsendung von Gastarbeitern ins Ausland hilft, den heimischen Arbeitsmarkt zu entlasten, und sie dient darüber hinaus auch der Erwirtschaftung von Devisen und der Ankurbelung des Inlandkon­sums (Quelle: Deutsches Auswärtiges Amt, im Internet unter: www.auswaertiges-amt.de &gt; Reise und Sicherheit &gt; Reise- und Sicherheitshinweise: Länder A-Z &gt; Philippinen &gt; Wirtschaft, [Stand: März 2012], Seite besucht im April 2012). Vor allem in der jün­geren Bevölkerung ist ein starker Migrationsdruck festzustellen. Dabei gilt auch die Schweiz als Zielland vieler Auswanderer im erwerbsfähigen Al­ter, welche sich hier unter besseren Lebensbedingungen eine neue Exis­tenz aufbauen möchten. Die Tendenz zur Auswanderung wird er­fah­rungsgemäss dort noch begünstigt, wo bereits ein soziales Be­ziehungs­netz (Verwandte, Freunde) im Ausland besteht. Im Falle der Schweiz führt dies angesichts der restriktiven Zulassungsregelung nicht selten zur Umge­hung ausländerrechtlicher Bestimmungen.</w:t>
      </w:r>
    </w:p>
    <w:p>
      <w:r>
        <w:rPr>
          <w:b/>
        </w:rPr>
        <w:t>E. 5.4</w:t>
      </w:r>
    </w:p>
    <w:p>
      <w:r>
        <w:t>Bei der Risikoanalyse sind allerdings nicht nur die erwähnten allgemeinen Umstände, sondern auch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Umgekehrt muss bei Personen, die in ihrer Heimat keine besonderen Verpflichtungen haben, das Risiko für ein ausländerrechtlich nicht regelkonformes Verhalten (nach bewilligter Einreise zu einem Besuchsaufenthalt) hoch eingeschätzt werden.</w:t>
      </w:r>
    </w:p>
    <w:p>
      <w:r>
        <w:rPr>
          <w:b/>
        </w:rPr>
        <w:t>E. 6.1</w:t>
      </w:r>
    </w:p>
    <w:p>
      <w:r>
        <w:t>Bei der Gesuchstellerin handelt es sich um eine unverheiratete, bald 23-jährige Frau die zusammen mit ihrem im Jahr 2007 geborenen Sohn, ihren Eltern sowie ihren Geschwistern in A.______ lebt. Der Umstand, dass die Gesuchstellerin Mutter eines bald fünfjährigen Sohnes ist, lässt zwar auf familiäre Verpflichtungen ihrerseits schliessen. Es ist jedoch nicht davon auszugehen, das bald fünfjährige Kind sei zwingend auf die Betreuung durch die Gesuchstellerin angewiesen. Dagegen spricht - wie es bereits die Vorinstanz ausführt - nicht zuletzt die Dauer der geplanten Abwesenheit von drei Monaten. Im Übrigen ist den Akten zu entnehmen, dass das Kind bereits heute öfters von der Familie der Gesuchstellerin betreut wird, wenn diese beispielsweise auswärts arbeitet (vgl. Beschwerde vom 24. Januar 2012). Vor diesem Hintergrund ist - entgegen den Ausführungen des Beschwerdeführers - nicht davon auszugehen, der Eingeladenen oblägen familiäre Verpflichtungen, die sie ernsthaft von einer Emigration abzuhalten vermöchten. Sodann kann eine Trennung von Familienangehörigen auch von der Hoffnung gesteuert sein, diese aus dem Ausland besser zu unterstützen und allenfalls später nachziehen zu können.</w:t>
      </w:r>
    </w:p>
    <w:p>
      <w:r>
        <w:rPr>
          <w:b/>
        </w:rPr>
        <w:t>E. 6.2</w:t>
      </w:r>
    </w:p>
    <w:p>
      <w:r>
        <w:t>Hinzu kommt, dass die Gesuchstellerin momentan keiner Erwerbstätigkeit nachgeht. Im Februar 2012 war sie als Serviceangestellte in B.______ tätig (vgl. Schreiben des Beschwerdeführers vom 10. Januar 2012). Belege, die zu ihrer aktuellen beruflichen und wirtschaftlichen Situation Aufschluss geben würden, wurden keine eingereicht. Demzufolge kann nicht darauf geschlossen werden, die Gesuchstellerin befinde sich finanziell in vergleichsweise vorteilhaften Verhältnissen.</w:t>
      </w:r>
    </w:p>
    <w:p>
      <w:r>
        <w:rPr>
          <w:b/>
        </w:rPr>
        <w:t>E. 6.3</w:t>
      </w:r>
    </w:p>
    <w:p>
      <w:r>
        <w:t>Aufgrund obgenannter Ausführungen sind bei der Gesuchstellerin keine eigentlichen Verpflichtungen oder Bindungen erkennbar, welche sie verlässlich von einer Emigration abzuhalten vermöchten.</w:t>
      </w:r>
    </w:p>
    <w:p>
      <w:r>
        <w:rPr>
          <w:b/>
        </w:rPr>
        <w:t>E. 6.4</w:t>
      </w:r>
    </w:p>
    <w:p>
      <w:r>
        <w:t>Vor dem allgemeinen und persönlichen Hintergrund durfte die Vorinstanz demnach davon ausgehen, dass keine hinreichende Gewähr für eine fristgerechte und anstandslose Wiederausreise der Gesuchstellerin nach einem Besuchsaufenthalt besteht. Zwar lässt sich diese Prognose nicht zu einer gesicherten Feststellung verdichten; sie genügt jedoch, um die Erteilung einer Einreisebewilligung, auf welche ohnehin kein Rechtsanspruch besteht, abzulehnen.</w:t>
      </w:r>
    </w:p>
    <w:p>
      <w:r>
        <w:rPr>
          <w:b/>
        </w:rPr>
        <w:t>E. 6.5</w:t>
      </w:r>
    </w:p>
    <w:p>
      <w:r>
        <w:t>An der Richtigkeit dieser Einschätzung ändert auch die Tatsache nichts, dass der Beschwerdeführer die rechtzeitige Rückkehr der Gesuchstellerin mehrmals zugesichert hat. Die Integrität des Beschwerdeführers in seiner Eigenschaft als Gastgeber wird auch gar nicht in Zweifel gezogen. Indessen sind bei der Abwägung des Risikos einer nicht fristgerechten Wiederausreise nicht so sehr die Einstellung und die Ab­sichten der Gastgeber, sondern in erster Linie das mögliche Verhalten des Gastes selbst von Bedeutung. Nur Letzterer ist in der Lage, hinrei­chend Ge­währ für eine fristgerechte und anstandslo­se Wiederausreise zu bie­ten. Der Gastgeber kann - wie dies in casu mit der Unterzeichnung der Verpflichtungserklärung am 11. Januar 2012 geschehen ist - zwar für gewisse finanzielle Risi­ken (Lebensunter­haltskosten während des Be­suchsaufenthaltes, allfäl­lige Kosten für Unfall und Krankheit sowie Rückreisekosten) Garantie leisten, nicht aber - mangels rechtlicher und fak­tischer Durchsetzbar­keit - für ein be­stimmtes Verhalten des Gastes (vgl. BVGE 2009/27 E. 9).</w:t>
      </w:r>
    </w:p>
    <w:p>
      <w:r>
        <w:rPr>
          <w:b/>
        </w:rPr>
        <w:t>E. 7</w:t>
      </w:r>
    </w:p>
    <w:p>
      <w:r>
        <w:t>Aus vorstehenden Erwägungen folgt, dass die angefochtene Verfügung im Lichte von Art. 49 VwVG nicht zu beanstanden ist. Die Beschwerde ist daher abzuweisen. 8.Entsprechend dem Ausgang des Verfahrens wird der unter­liegende Be­schwerdeführer kostenpflichtig (Art. 63 Abs. 1 VwVG). Die Ver­fahrenskos­ten sind auf Fr. 800.- festzusetzen (Art. 1 ff. des Regle­ments über die Kos­ten und Entschädigungen vor dem Bundesverwaltungs­gericht vom 21. Februar 2008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