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C-450/2008 vom 4. April 2009</w:t>
      </w:r>
    </w:p>
    <w:p>
      <w:r>
        <w:t>Bundesverwaltungsgericht, 2009-04-04, DE</w:t>
      </w:r>
    </w:p>
    <w:p>
      <w:r>
        <w:rPr>
          <w:b/>
        </w:rPr>
        <w:t xml:space="preserve">Quelle: </w:t>
      </w:r>
      <w:r>
        <w:t>https://mcp.opencaselaw.ch/entscheid/bvger_C-450_2008</w:t>
      </w:r>
    </w:p>
    <w:p>
      <w:r>
        <w:t>FR: TAF C-450/2008 du 4 avril 2009</w:t>
      </w:r>
    </w:p>
    <w:p>
      <w:r>
        <w:t>IT: TAF C-450/2008 del 4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Visumsverfahren und über die Ein- und Ausreise nur gelten, sofern das Schengen-Recht keine abweichenden Bestimmungen enthält). Im Weiteren ist die VEV total revidiert worden (Verordnung vom 22. Oktober 2008 über die Einreise und die Visumerteilung [VEV, SR 142.204]).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122 II 485 E. 3, 122 II 234 E. 4.e,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1 - 32]).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 - 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1 - 149), die eine analoge Auslegung vornimmt. Diese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1 - 7)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Da Armenien im Anhang I figuriert, unterliegt die Gesuchstellerin als armenische Staatsangehörige der Visumspflicht.</w:t>
      </w:r>
    </w:p>
    <w:p>
      <w:r>
        <w:rPr>
          <w:b/>
        </w:rPr>
        <w:t>E. 7.1</w:t>
      </w:r>
    </w:p>
    <w:p>
      <w:r>
        <w:t>Wenn es zu beurteilen gilt, ob das Kriterium der gesicherten Wiederausreise erfüllt ist, muss ein zukünftiges Verhalten beurteilt werden. Dazu lassen sich in der Regel keine Feststellungen, sondern lediglich Prognosen machen. Dabei sind sämtliche Umstände des Einzelfalles zu würdigen.</w:t>
      </w:r>
    </w:p>
    <w:p>
      <w:r>
        <w:rPr>
          <w:b/>
        </w:rPr>
        <w:t>E. 7.2</w:t>
      </w:r>
    </w:p>
    <w:p>
      <w:r>
        <w:t>Anhaltspunkte zur Beurteilung der fristgerechten Wiederausreise können sich aus der allgemeinen Lage des Herkunfts- oder Heimatstaates der Gesuchstellerin oder des Gesuchstellers ergeben. Kommt die gesuchstellende Person aus einem Land oder einer Region mit politisch oder wirtschaftlich vergleichsweise ungünstigen Verhältnissen, so kann dies darauf hindeuten, dass die persönliche Interessenlage nicht mit dem Ziel und Zweck einer zeitlich befristeten Einreisebewilligung in Einklang steht.</w:t>
      </w:r>
    </w:p>
    <w:p>
      <w:r>
        <w:rPr>
          <w:b/>
        </w:rPr>
        <w:t>E. 7.3</w:t>
      </w:r>
    </w:p>
    <w:p>
      <w:r>
        <w:t>Die Vorinstanz hat sich in ihrer Begründung mit der Lage im Herkunftsstaat Armenien auseinandergesetzt. Da die Gesuchstellerin sich offenbar seit einigen Jahren in der Russischen Föderation aufhält und arbeitet, müssen beide Länder in die Beurteilung miteinbezogen werden. Allerdings bestreitet der Beschwerdeführer die Einschätzung der Vorinstanz nicht, wonach die Bedingungen in Armenien als schwierig gelten und deshalb das Emigrationsrisiko allgemein als hoch anzusehen ist. Vorliegend genügt es daher, zusätzlich Ausführungen zur Situation in Russland zu machen. Die Wirtschaftslage in Russland entwickelte sich bin zum Herbst 2008 dank der hohen Energiepreise positiv. Angesichts der weltweiten Wirtschaftskrise wird für das Jahr 2009 jedoch mit einer Rezession gerechnet. Die Krise hat sich bereits auf die soziale Situation ausgewirkt: Die Arbeitslosigkeit wächst, und es wird bis Ende 2009 mit einer Arbeitslosenquote von 6,1 % gerechnet (Quellen: Länderinformationen und Reisehinweise auf der Webseite des Deutschen Auswärtigen Amtes, www.auswaertiges-amt.de, Stand Oktober 2008, Background Notes auf der Webseite des US State Departement, www.state.gov, Stand Februar 2009, alle Seiten besucht am 24. März 2009). Die Bereitschaft, das Land auf der Suche nach besseren Lebensbedingungen zu verlassen, zeigt sich erfahrungsgemäss besonders stark bei jüngeren und ungebundenen Personen. Ein im Ausland bestehendes soziales Beziehungsnetz (Freunde oder Verwandte) kann den Entscheid auszuwandern erleichtern.</w:t>
      </w:r>
    </w:p>
    <w:p>
      <w:r>
        <w:rPr>
          <w:b/>
        </w:rPr>
        <w:t>E. 7.4</w:t>
      </w:r>
    </w:p>
    <w:p>
      <w:r>
        <w:t>In Anbetracht der eher schwierigen Verhältnisse in Armenien und Russland, welche insbesondere im Verhältnis zur Situation in der Schweiz von Bedeutung sind, ist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im Heimat- oder Herkunftsstaat beispielsweise eine besondere berufliche, gesellschaftliche oder familiäre Verantwortung, kann dieser Umstand durchaus die Prognose für eine anstandslose Wiederausreise begünstigen. Umgekehrt muss bei Gesuchstellerinnen und Gesuchstellern, die keine besonderen Verpflichtungen haben, die sie von einer möglichen Emigration abhalten könnten, aufgrund entsprechender Erfahrungen das Risiko eines fremdenpolizeilich nicht vorschriftsgemässen Verhaltens nach bewilligter Einreise zu einem Besuchsaufenthalt als hoch eingeschätzt werden.</w:t>
      </w:r>
    </w:p>
    <w:p>
      <w:r>
        <w:rPr>
          <w:b/>
        </w:rPr>
        <w:t>E. 7.4.1</w:t>
      </w:r>
    </w:p>
    <w:p>
      <w:r>
        <w:t>Bei der Gesuchstellerin handelt es sich um eine 34jährige Mutter einer elfjährigen Tochter. Gemäss Angaben des Gastgebers leben ihre Eltern, ihre beiden Geschwister sowie die Tochter in Armenien. Sie selbst ist in Moskau in einer Firma als Finanzexpertin tätig. Gemäss den Informationen, welche die schweizerische Vertretung an die Vorinstanz übermittelt hat, ist die Gesuchstellerin seit etwa Anfang Oktober 2007 bei dieser Firma angestellt; der Gastgeber seinerseits ist gemäss seiner Visitenkarte für diese Firma als Berater tätig. Ferner geht aus den Akten hervor, dass die Gesuchstellerin in Moskau in einer Wohnung des Gastgebers wohnt (Angabe einer c/o-Adresse auf dem Antragsformular). Gemäss den Angaben des Gastgebers hat dieser die Gesuchstellerin im Jahre 2005 durch gemeinsame Freunde in Moskau kennen gelernt. Da die Gesuchstellerin in letzter Zeit persönliche Probleme gehabt habe, möchten der Gastgeber und seine Frau ihr in der Schweiz Erholung in familiärer Atmosphäre ermöglichen.</w:t>
      </w:r>
    </w:p>
    <w:p>
      <w:r>
        <w:rPr>
          <w:b/>
        </w:rPr>
        <w:t>E. 7.4.2</w:t>
      </w:r>
    </w:p>
    <w:p>
      <w:r>
        <w:t>Aus diesen Angaben kann nicht auf besondere gesellschaftliche, berufliche oder familiäre Verpflichtungen der Gesuchstellerin geschlossen werden. In familiärer Hinsicht ist festzuhalten, dass sie zwar eine minderjährige Tochter hat. Diese hält sich jedoch in Armenien unter der Obhut Verwandter auf, während die Gesuchstellerin in Moskau lebt. Aus dieser Beziehung kann nicht auf eine Bindung geschlossen werden, welche die Gesuchstellerin nachhaltig von einer Emigration in die Schweiz abzuhalten vermöchte, da sie sie nicht daran gehindert hat, nach Russland zu emigrieren. Zu keinem anderen Ergebnis kann die berufliche Situation der Gesuchstellerin führen: So hat sie das Einreisegesuch nur kurze Zeit nach Antritt einer neuen Stelle eingereicht. Dass die Firma nach so kurzer Zeit mit einer dreimonatigen Abwesenheit einverstanden wäre, erscheint nicht glaubhaft und ist auch nicht belegt.</w:t>
      </w:r>
    </w:p>
    <w:p>
      <w:r>
        <w:rPr>
          <w:b/>
        </w:rPr>
        <w:t>E. 7.4.3</w:t>
      </w:r>
    </w:p>
    <w:p>
      <w:r>
        <w:t>Insgesamt kann gesagt werden, dass die persönliche Situation der Gesuchstellerin, ihre Einbindung in familiärer und beruflicher Hinsicht nicht Gewähr für eine fristgerechte Wiederausreise aus der Schweiz bieten kann.</w:t>
      </w:r>
    </w:p>
    <w:p>
      <w:r>
        <w:rPr>
          <w:b/>
        </w:rPr>
        <w:t>E. 7.5</w:t>
      </w:r>
    </w:p>
    <w:p>
      <w:r>
        <w:t>Unter den gegebenen Umständen durfte die Vorinstanz zu Recht davon ausgehen, es bestehe nicht genügend Gewähr für die fristgerechte Wiederausreise nach einem Besuchsaufenthalt.</w:t>
      </w:r>
    </w:p>
    <w:p>
      <w:r>
        <w:rPr>
          <w:b/>
        </w:rPr>
        <w:t>E. 7.6</w:t>
      </w:r>
    </w:p>
    <w:p>
      <w:r>
        <w:t>An dieser Beurteilung vermögen auch die Zusicherungen des Beschwerdeführer nichts zu ändern, der sich auf seine Position als angesehener Geschäftsmann beruft, der es gewohnt sei, sich an die gesetzlichen Vorschriften zu halten, und versichert, dass die Gesuchstellerin fristgerecht wieder aus der Schweiz ausreisen werde. Naturgemäss ist eine solche Garantie trotz bester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C-6950/2007 vom 7. November 2008 E. 8).</w:t>
      </w:r>
    </w:p>
    <w:p>
      <w:r>
        <w:rPr>
          <w:b/>
        </w:rPr>
        <w:t>E. 8</w:t>
      </w:r>
    </w:p>
    <w:p>
      <w:r>
        <w:t>Aus den vorangegangenen Erwägungen folgt, dass die angefochtene Verfügung im Lichte von Art. 49 VwVG rechtmässig ist. Die Beschwerde ist daher abzuweisen.</w:t>
      </w:r>
    </w:p>
    <w:p>
      <w:r>
        <w:rPr>
          <w:b/>
        </w:rPr>
        <w:t>E. 9</w:t>
      </w:r>
    </w:p>
    <w:p>
      <w:r>
        <w:t>Bei diesem Ausgang des Verfahrens sind die Kosten dem Beschwerdeführer aufzuerlegen (vgl. Art. 63 Abs. 1 VwVG i.V.m. Art. 1 und Art. 3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