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C-4509/2009 vom 7. Januar 2010</w:t>
      </w:r>
    </w:p>
    <w:p>
      <w:r>
        <w:t>Bundesverwaltungsgericht, 2010-01-07, DE</w:t>
      </w:r>
    </w:p>
    <w:p>
      <w:r>
        <w:rPr>
          <w:b/>
        </w:rPr>
        <w:t xml:space="preserve">Quelle: </w:t>
      </w:r>
      <w:r>
        <w:t>https://mcp.opencaselaw.ch/entscheid/bvger_C-4509_2009</w:t>
      </w:r>
    </w:p>
    <w:p>
      <w:r>
        <w:t>FR: TAF C-4509/2009 du 7 janvier 2010</w:t>
      </w:r>
    </w:p>
    <w:p>
      <w:r>
        <w:t>IT: TAF C-4509/2009 del 7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Der Parteivertreter rügt in formeller Hinsicht im Nachhinein eine Verletzung des Anspruchs auf rechtliches Gehör, weil sein Mandant vor der Verhängung einer allfälligen Fernhaltemassnahme nicht angehört worden sei. Aus den kantonalen Akten (dass sie herangezogen wurden, hat das Bundesverwaltungsgericht dem Rechtsvertreter am 23. Oktober 2009 mitgeteilt) ergibt sich allerdings, dass dem Beschwerdeführer das rechtliche Gehör in Bezug auf den Erlass eines Einreiseverbots am 4. Juni 2009 gewährt worden ist und er sich dazu auch ganz konkret geäussert hat. Dem ist nichts beizufügen.</w:t>
      </w:r>
    </w:p>
    <w:p>
      <w:r>
        <w:rPr>
          <w:b/>
        </w:rPr>
        <w:t>E. 4.1</w:t>
      </w:r>
    </w:p>
    <w:p>
      <w:r>
        <w:t>Mit Inkrafttreten des AuG am 1. Januar 2008 wurde ANAG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5. Aufl., Zürich/Basel/Genf/St. Gallen 2006, Rz. 337 ff. sowie BVGE 2009/3 E. 3.2).</w:t>
      </w:r>
    </w:p>
    <w:p>
      <w:r>
        <w:rPr>
          <w:b/>
        </w:rPr>
        <w:t>E. 4.2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Das in Art. 67 AuG geregelte Einreiseverbot entspricht der altrechtlichen Einreisesperre des Art. 13 ANAG. Es kann nach Art. 67 Abs. 1 AuG vom BFM gegenüber ausländischen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5.2</w:t>
      </w:r>
    </w:p>
    <w:p>
      <w:r>
        <w:t>Wie bereits die altrechtliche Einreisesperre ist das Eineiseverbot keine Sanktion für vergangenes Fehlverhalten, sondern eine Massnahme zur Abwendung künftiger Störungen der öffentlichen Sicherheit und Ordnung (siehe Botschaft zum Bundesgesetz über die Ausländerinnen und Ausländer vom 8. März 2002, BBl 2002 3709, 3813). Die öffentliche Sicherheit und Ordnung im Sinne von Art. 67 Abs. 1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6</w:t>
      </w:r>
    </w:p>
    <w:p>
      <w:r>
        <w:t>Wie aus dem Sachverhalt hervorgeht (siehe Bst. B hiervor), liegen der angeordneten Fernhaltemassnahme 15 Verurteilungen mit Freiheitsstrafen von insgesamt über drei Jahren zu Grunde. Hinsichtlich des Deliktskatalogs, der Strafen und der Begehungszeiträume kann auf den Beschluss des Regierungsrates des Kantons Zürich vom 5. November 2008 S. 2/3 verwiesen werden. Nicht alle dieser Verurteilungen fallen - einzeln betrachtet - erheblich ins Gewicht. Die Regelmässigkeit, mit welcher der Beschwerdeführer delinquierte, lassen aber darauf schliessen, dass er nicht willens oder in der Lage ist, sich über einen längeren Zeitraum hinweg an die geltende Ordnung zu halten. Aus fremdenpolizeilicher Sicht negativ ins Gewicht fallen insbesondere die neueren Verstösse gegen die Betäubungsmittelgesetzgebung. So wurde er vom Bezirksgericht Zürich im letzten vor Erlass des Einreiseverbots ergangenen Strafurteil unter anderem des Verbrechens im Sinne von Art. 19 Ziff. 1 Abs. 4 und 5 i.V.m. Art. 19 Ziff. 2 Bst. a BetmG für schuldig befunden (siehe dazu BGE 109 IV 143 E. 3b S. 144 f.) und zu einer Freiheitsstrafe von 20 Monaten als Gesamtstrafe verurteilt. Dementsprechend hat die Strafbehörde sein Verschulden als nicht mehr leicht gewertet. Die Voraussetzungen von Art. 67 Abs. 1 Bst. a AuG sind somit zweifelsohne erfüllt, was auch der Parteivertreter nicht in Abrede stellt.</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a.a.O., Rz. 613 ff.).</w:t>
      </w:r>
    </w:p>
    <w:p>
      <w:r>
        <w:rPr>
          <w:b/>
        </w:rPr>
        <w:t>E. 7.1</w:t>
      </w:r>
    </w:p>
    <w:p>
      <w:r>
        <w:t>Mit Blick auf die Dauer der verhängten Massnahme von Belang erscheinen vor allem die Kadenz der Straffälligkeit sowie der Umstand, dass die Intensität der begangenen Delikte zwar nicht kontinuierlich jedoch tendenziell zugenommen hat. So betrafen die sechs seit dem Sommer 2004 ergangenen Verurteilungen überwiegend Zuwiderhandlungen gegen das BetmG, im letzten Urteil ging es um den Handel mit Kokain. Das diesbezügliche Fehlverhalten des Beschwerdeführers wiegt aus präventivpolizeilicher Sicht schwer, hat er sich doch aus rein egoistischen und gewinnorientierten Motiven als Drogendealer betätigt (vgl. Urteil des Bezirksgerichts Zürich vom 26. Februar 2008 S. 15) und auf diese Weise die Gesundheit einer Vielzahl von Menschen erheblichen gesundheitlichen Gefahren ausgesetzt. Ein denkbar schlechtes Licht auf ihn wirft ebenfalls, dass er seine deliktische Tätigkeit trotz früherer Freiheitsstrafen, einer intakten ehelichen Beziehung und des Fehlens finanzieller Engpässe fortgesetzt hat. In Bezug auf den Drogenhandel ist der Beschwerdeführer der Strafbehörde zufolge in jeglicher Weise unbelehrbar geblieben. Wie dargelegt, resultierten daraus Freiheitsstrafen von total über drei Jahren. Nur schon von daher erweisen sich die Versuche des Parteivertreters, die Straftaten seines Mandanten zu relativieren, als unbehelflich. Der Betroffene musste folglich damit rechnen, aus spezifisch ausländerrechtlicher Sicht über viele Jahre hinweg als Risikofaktor für die öffentliche Sicherheit und Ordnung eingestuft zu werden.</w:t>
      </w:r>
    </w:p>
    <w:p>
      <w:r>
        <w:rPr>
          <w:b/>
        </w:rPr>
        <w:t>E. 7.2</w:t>
      </w:r>
    </w:p>
    <w:p>
      <w:r>
        <w:t>Was den Hinweis des Rechtsvertreters auf Art. 13 ANAG (konkret Art. 13 Abs. 1 Satz 2 ANAG) anbelangt, so beschränkte sich die Anwendbarkeit besagter Bestimmung, die für Einreisesperren eine Höchstdauer von drei Jahren festlegte, gemäss damaliger Praxis auf fremdenpolizeiliche Widerhandlungen sowie Verletzungen von Vorschriften wie sie in Art. 17 Abs. 4 der Vollziehungsverordnung vom 1. März 1949 zum Bundesgesetz über Aufenthalt und Niederlassung der Ausländer (ANAV, AS 1949 I 228) exemplarisch aufgelistet waren (vgl. zum Ganzen Verwaltungspraxis der Bundesbehörden [VPB] 58.53 E. 9). Die Delikte, welche hier Gegenstand der angefochtenen Verfügung bilden, fallen nicht darunter. Art. 67 Abs. 3 AuG wiederum setzt für die Verhängung eines unbefristeten Einreiseverbots laut Wortlaut nicht einen sehr schwerwiegenden Rechtsverstoss, sondern einfach einen schwerwiegenden Fall voraus, was aufgrund der bisherigen Ausführungen zu bejahen ist. Rechnung zu tragen gilt es hierbei ergänzend, dass sich der Beschwerdeführer selbst durch fünf fremdenpolizeiliche Verwarnungen nicht hat beeindrucken lassen und nach wie vor von keiner günstigen Prognose ausgegangen werden kann. Noch im Oktober 2008 wurde denn ein Gesuch um bedingte Entlassung wegen der insgesamt negativen Legalprognose abgewiesen (siehe Verfügung der Strafvollzugsbehörde des Kantons Zürich vom 27. Oktober 2008). Für die Berechnung der Dauer des klaglosen Verhaltens ist überdies nicht auf den Begehungs- oder Urteilszeitpunkt abzustellen, sondern es kommt darauf an, wie lange sich eine straffällig gewordene Person nach ihrer Entlassung aus der Haft in Freiheit bewährt hat (vgl. BVGE 2008/24 E. 4.3 und 6.2). Die Entlassung aus dem Strafvollzug erfolgte vorliegend am 15. Juni 2009. Ungeachtet des seitherigen Verhaltens des Betroffenen (siehe Bst. J hiervor) erweist sich die seit der Haftentlassung abgelaufene Bewährungszeit als viel zu kurz, als dass in unmittelbarer oder mittelbarer Zukunft von einer grundlegenden und gefestigten Wandlung ausgegangen werden könnte (vgl. BGE 130 II 493 E. 5 S. 504). Aus den dargelegten Gründen erscheint die Anwendung eines strengen Massstabs angezeigt und zum heutigen Zeitpunkt ein öffentliches Interesse an einer langjährigen (und nicht, wie beantragt, maximal dreijährigen) Fernhaltemassnahme gerechtfertigt.</w:t>
      </w:r>
    </w:p>
    <w:p>
      <w:r>
        <w:rPr>
          <w:b/>
        </w:rPr>
        <w:t>E. 7.3</w:t>
      </w:r>
    </w:p>
    <w:p>
      <w:r>
        <w:t>Schliesslich argumentiert der Parteivertreter, die zuständigen Behörden hätten im Rahmen der Verhältnismässigkeitsprüfung Art. 8 EMRK mitzuberücksichtigen. In vorliegendem Zusammenhang können allfällige Einschränkungen des Privat- bzw. Familienlebens des Beschwerdeführers aufgrund sachlicher und funktioneller Unzuständigkeit des Bundesverwaltungsgerichts nicht Verfahrensgegenstand sein, soweit sie auf das Fehlen eines dauerhaften Aufenthaltsrechts in der Schweiz zurückzuführen sind (siehe Urteile des Bundesverwaltungsgerichts C-4941/2008 vom 23. November 2009 E. 7.3, C-8229/2008 vom 8. Juli 2009 E. 6.3 oder C-5422/2008 vom 10. Juni 2009 E. 8.5). Die Erteilung von Aufenthaltsbewilligungen fällt grundsätzlich in die Zuständigkeit der Kantone, wobei im Falle einer Bewilligungserteilung auch das bestehende Einreiseverbot aufzuheben wäre (vgl. Urteil des Bundesgerichts 2C_793/2008 vom 27. März 2009 E. 3.2). Dem Beschwerdeführer wurde die Verlängerung der Aufenthaltsbewilligung durch die Behörden des Kantons Zürich verweigert. Die Pflege regelmässiger persönlicher Kontakte zu seiner Schweizer Ehefrau scheitert daher bereits an seinem fehlenden Anwesenheitsrecht hierzulande. Somit stellt sich nurmehr die Frage, ob die über die Verweigerung des Aufenthaltsrechts hinausgehende, durch das Einreiseverbot zusätzlich bewirkte Erschwernis vor Art. 8 Ziff. 1 EMRK (und Art. 13 Abs. 1 der Bundesverfassung der Schweizerischen Eidgenossenschaft vom 18. April 1999 [BV, SR 101]) standhält.</w:t>
      </w:r>
    </w:p>
    <w:p>
      <w:r>
        <w:rPr>
          <w:b/>
        </w:rPr>
        <w:t>E. 7.4</w:t>
      </w:r>
    </w:p>
    <w:p>
      <w:r>
        <w:t>Aus den vorstehenden Ausführungen geht hervor, dass sich der Beschwerdeführer derzeit nur zu Besuchszwecken in der Schweiz aufhalten dürfte. Eine Aufhebung des Einreiseverbots führte demnach lediglich dazu, dass er den allgemeinen, für Staatsangehörige aus Gambia geltenden Einreisebestimmungen (insbesondere der Visumspflicht) unterstünde (vgl. Art. 4 Abs. 1 der Verordnung vom 22. Oktober 2008 über die Einreise und die Visumerteilung [VEV, SR 142.204] mit Verweis auf die Verordnung [EG] Nr. 539/2001 des Rates vom 15. März 2001, welche im Anhang I eine Liste von Drittländern enthält - darunter Gambia - deren Staatsangehörige beim Überschreiten der Aussengrenzen der Schengen-Mitgliedstaaten im Besitze eines Visums sein müssen). Er könnte somit ohnehin nicht bewilligungsfrei in die Schweiz einreisen. Die Wirkungen des Einreiseverbots bestehen zudem nicht darin, dass dem Beschwerdeführer während dessen Geltungsdauer Besuchsaufenthalte bei ihm nahe stehenden Personen in der Schweiz schlichtweg untersagt wären. Es steht ihm vielmehr die Möglichkeit offen, aus wichtigen Gründen mittels begründetem Gesuch die zeitweilige Suspension der angeordneten Fernhaltemassnahme zu beantragen (Art. Art. 67 Abs. 4 AuG). Die Suspension wird aber praxisgemäss nur für eine kurze und klar begrenzte Zeit gewährt (zum Ganzen siehe Urteile des Bundesverwaltungsgerichts C-4941/2008 vom 23. November 2009 E. 7.3, C-5422/2008 vom 10. Juni 2009 E. 8.6 oder C-1401/2008 vom 20. August 2008 E. 6.5). Wie in der Replik zutreffend vermerkt, besteht von daher kein entsprechender Anspruch, indessen kann den geltend gemachten privaten Interessen der Eheleute im dargelegten Umfang und Rahmen Rechnung getragen werden. Ob in diesem, in erster Linie administrativen Erschwernis bereits ein rechtfertigungsbedürftiger Eingriff in das Familienleben begründet ist, kann offen bleiben. Selbst wenn von einem unter dem Gesichtspunkt von Art. 13 Abs. 1 BV und Art. 8 EMRK relevanten Eingriff ausgegangen würde, wäre ein solcher unter den konkreten Begebenheiten gestützt auf Art. 8 Ziff. 2 EMRK als zulässig zu betrachten.</w:t>
      </w:r>
    </w:p>
    <w:p>
      <w:r>
        <w:rPr>
          <w:b/>
        </w:rPr>
        <w:t>E. 7.5</w:t>
      </w:r>
    </w:p>
    <w:p>
      <w:r>
        <w:t>Eine wertende Gewichtung der sich entgegenstehenden Interessen führt das Bundesverwaltungsgericht zum Schluss, dass das unbefristete Einreiseverbot eine verhältnismässige und angemessene Massnahme zum Schutz der öffentlichen Sicherheit und Ordnung darstellt. Die fehlende Befristung bedeutet nicht, dass die Massnahme für den Rest des Lebens Gültigkeit haben soll (zum Ganzen vgl. BVGE 2008/24 E. 4.3). Eine zuverlässige Prognose, wie lange ein relevantes öffentliches Sicherheitsbedürfnis anzunehmen ist, lässt sich jedoch zum jetzigen Zeitpunkt nicht abgeben. Es ist vom Beschwerdeführer zu verlangen, sich vorerst während geraumer Zeit im Ausland zu bewähren.</w:t>
      </w:r>
    </w:p>
    <w:p>
      <w:r>
        <w:rPr>
          <w:b/>
        </w:rPr>
        <w:t>E. 8</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9</w:t>
      </w:r>
    </w:p>
    <w:p>
      <w:r>
        <w:t>Bei diesem Ausgang des Verfahrens sind dem Beschwerdeführer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