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C-449/2012 vom 25. April 2013</w:t>
      </w:r>
    </w:p>
    <w:p>
      <w:r>
        <w:t>Bundesverwaltungsgericht, 2013-04-25, IT</w:t>
      </w:r>
    </w:p>
    <w:p>
      <w:r>
        <w:rPr>
          <w:b/>
        </w:rPr>
        <w:t xml:space="preserve">Quelle: </w:t>
      </w:r>
      <w:r>
        <w:t>https://mcp.opencaselaw.ch/entscheid/bvger_C-449_2012</w:t>
      </w:r>
    </w:p>
    <w:p>
      <w:r>
        <w:t>FR: TAF C-449/2012 du 25 avril 2013</w:t>
      </w:r>
    </w:p>
    <w:p>
      <w:r>
        <w:t>IT: TAF C-449/2012 del 25 aprile 2013</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400.-, relativo alle spese processuali, è stato versato nel termine impartito.</w:t>
      </w:r>
    </w:p>
    <w:p>
      <w:r>
        <w:rPr>
          <w:b/>
        </w:rPr>
        <w:t>E. 2.1</w:t>
      </w:r>
    </w:p>
    <w:p>
      <w:r>
        <w:t>La ricorrente è cittadina di uno Stato membro della Comunità europea, per cui è applicabile, di principio, l'Accordo sulla libera circolazione delle persone, del 21 giugno 1999, fra la Confederazione svizzera, da una parte, e la Comunità europea ed i suoi Stati membri, dall'altra parte, entrato in vigore il 1° giugno 2002 (ALC, RS 0142.112.681).</w:t>
      </w:r>
    </w:p>
    <w:p>
      <w:r>
        <w:rPr>
          <w:b/>
        </w:rPr>
        <w:t>E. 2.2</w:t>
      </w:r>
    </w:p>
    <w:p>
      <w:r>
        <w:t>L'Allegato II, che regola il coordinamento dei sistemi di sicurezza so­ciale (art. 8 ALC), è stato modificato il 1° aprile 2012 (Decisione 1/2012 del Comitato mi­sto, del 31 marzo 2012; RU 2012 2345). Tuttavia, il caso in esame rimane regolato, a seguito del rinvio dell'art. 80a LAI, dalla versione dell'Alle­gato II in vigore fino al 31 marzo 2012 (RU 2002 1527, 2006 979 e 995, 2006 5851, 2009 2411 e 2421), in base alla quale le parti contraenti applicano fra di loro gli atti comunitari seguenti: il Regolamento (CEE) n. 1408/71 del Consiglio, del 14 giugno 1971, relativo all'applicazione dei regimi di sicurezza sociale ai lavoratori subordinati, ai lavoratori autonomi e ai loro familiari che si spostano all'interno della Comunità (RU 2004 121, 2008 4219, 2009 4831), normativa applicabile a tutte le rendite il cui diritto nasce dal 1° giugno 2002 o successivamente, e che sostituisce le Convenzioni di sicurezza sociale che disciplinavano i rapporti fra due o più Stati (art. 6 del Regolamento n. 1408/71), ed il Regolamento (CEE) n. 574/71 del Consiglio, del 21 marzo 1972, relativo all'applicazione del Regolamento n. 1408/71 (RU 2005 3909, 2009 621, 2009 4845).</w:t>
      </w:r>
    </w:p>
    <w:p>
      <w:r>
        <w:rPr>
          <w:b/>
        </w:rPr>
        <w:t>E. 2.3</w:t>
      </w:r>
    </w:p>
    <w:p>
      <w:r>
        <w:t>Secondo l'art. 3 del Regolamento n. 1408/71, i cittadini degli Stati membri della Comunità europea ed i cittadini svizzeri godono della parità di trattamento. In base all'art. 20 ALC, salvo disposizione contraria contenuta nell'Allegato II, gli accordi bilaterali fra la Svizzera e gli Stati membri della Comunità europea in materia di sicurezza sociale sono sospesi con l'entrata in vigore del presente Accordo, qualora il medesimo campo sia disciplinato da quest'ultimo. Nella misura in cui l'Accordo, in particolare l'Allegato II, non prevede disposizioni contrarie, l'organizzazione della procedura, come pure l'esame delle condizioni di ottenimento di una rendita d'invalidità svizzera, sono regolate dal diritto interno svizzero (DTF 130 V 257 consid. 2.4).</w:t>
      </w:r>
    </w:p>
    <w:p>
      <w:r>
        <w:rPr>
          <w:b/>
        </w:rPr>
        <w:t>E. 2.4</w:t>
      </w:r>
    </w:p>
    <w:p>
      <w:r>
        <w:t>Per costante giurisprudenza, l'ottenimento di una pensione straniera d'invalidità non pregiudica l'apprezzamento di un'invalidità secondo il diritto svizzero (v. sentenza del Tribunale federale I 435/02 del 4 febbraio 2003, consid. 2).</w:t>
      </w:r>
    </w:p>
    <w:p>
      <w:r>
        <w:rPr>
          <w:b/>
        </w:rPr>
        <w:t>E. 3</w:t>
      </w:r>
    </w:p>
    <w:p>
      <w:r>
        <w:t>L'esame del diritto a prestazioni secondo la LAI è retto dal tenore della stessa al momento della decisione impugnata, in virtù del principio secondo il quale sono determinanti le norme materiali in vigore al momento della realizzazione dello stato di fatto giuridicamente determinante (DTF 130 V 445 consid. 1.2 e relativi riferimenti). Le disposizioni della 5a revisione della LAI, in vigore dal 1° gennaio 2008, si applicano quindi in concreto, ma non le norme della 6a revisione della LAI (primo pacchetto di misure), in vigore dal 1° gennaio 2012 (RU 2011 5659; FF 2010 1603). Sono inoltre applicabili le disposizioni della LPGA, se e per quanto la LAI lo preveda (art. 2 LPGA).</w:t>
      </w:r>
    </w:p>
    <w:p>
      <w:r>
        <w:rPr>
          <w:b/>
        </w:rPr>
        <w:t>E. 4</w:t>
      </w:r>
    </w:p>
    <w:p>
      <w:r>
        <w:t>Il periodo di cognizione giudiziaria di questo Tribunale si estende fino al 29 novembre 2011, data della deci­sione avversata, visto che il giudice delle assicurazioni sociali deve analizzare, come appena ricordato al consid. 3, la legalità della decisione impugnata, in generale, secondo lo stato di fatto esistente al mo­mento in cui essa è stata resa, anche se può tenere conto dei fatti ve­rificatisi dopo tale data, quando essi possono im­porsi quali elementi d'accertamento retrospettivo della situazione ante­riore alla decisione stessa (DTF 130 V 138 e 445, 121 V 366 consid. 1b, 116 V 248 consid. 1a).</w:t>
      </w:r>
    </w:p>
    <w:p>
      <w:r>
        <w:rPr>
          <w:b/>
        </w:rPr>
        <w:t>E. 5</w:t>
      </w:r>
    </w:p>
    <w:p>
      <w:r>
        <w:t>La ricorrente contesta innanzitutto la validità formale della decisione dell'UAIE, sostenendo che la stessa sarebbe "assolutamente immotivata" e pertanto "inaccettabile".</w:t>
      </w:r>
    </w:p>
    <w:p>
      <w:r>
        <w:rPr>
          <w:b/>
        </w:rPr>
        <w:t>E. 6.1</w:t>
      </w:r>
    </w:p>
    <w:p>
      <w:r>
        <w:t>Il diritto di essere sentito, la cui garanzia è prevista all'art. 29 cpv. 2 della Costituzione federale della Confederazione svizzera del 18 aprile 1999 (Cost, RS 101), comprende il diritto per l'assicurato di prendere conoscenza dell'incarto (DTF 132 II 485 consid. 3, 126 I 7 consid. 2b), di esprimersi prima che una decisione sia emessa nei suoi confronti, di produrre delle prove pertinenti, di partecipare all'amministrazione delle prove essenziali, di prenderne conoscenza e di potersi esprimere in merito, allorquando questo è proprio ad influenzare la decisione da emanare (DTF 124 II 132 consid. 2b e giurisprudenza ivi citata). Nel quadro della procedura amministrativa il diritto di essere sentito è consacrato dagli art. 26 a 28 (diritto di esaminare gli atti), dagli art. 29 a 33 (diritto di essere sentito stricto sensu) e dall'art. 35 PA (diritto di ottenere una decisione motivata).</w:t>
      </w:r>
    </w:p>
    <w:p>
      <w:r>
        <w:rPr>
          <w:b/>
        </w:rPr>
        <w:t>E. 6.2</w:t>
      </w:r>
    </w:p>
    <w:p>
      <w:r>
        <w:t>La giurisprudenza ha dedotto dal diritto di essere sentito, definito dalle norme speciali di procedura (quali l'art. 35 PA), l'obbligo per l'autorità di motivare la sua decisione, così da permettere ai destinatari ed a tutte le persone interessate di comprenderla e di impugnarla, ed in modo da rendere possibile all'autorità di ricorso adita di esercitare convenientemente il suo controllo (DTF 129 I 232 consid. 3.2, 126 I 97 consid. 2b, 122 IV 8 consid. 2c, 112 Ia 107 consid. 2b; cfr. inoltre la sentenza del Tribunale federale 2A.496/2006/ 2A.497/2006 del 15 ottobre 2007 consid. 5.1.1). Si è in presenza di una violazione del diritto di essere sentito se l'autorità non soddisfa al suo obbligo di esaminare e di trattare i problemi pertinenti (DTF 126 I 97 consid. 2b, 122 IV 8 consid. 2c). Per adempiere a tali esigenze è sufficiente che il giudice (o l'autorità) menzioni, almeno brevemente, i motivi sui quali ha fondato la sua decisione, in modo da permettere all'interessato di apprezzare la portata di quest'ultima e di impugnarla in piena conoscenza di causa (DTF menzionate). In generale, la portata dell'obbligo di motivare dipende dalla complessità della fattispecie da giudicare, dalla potenziale gravità delle conseguenze della decisione e dalle circostanze del singolo caso. Più la libertà d'apprezzamento dell'autorità è ampia e più la misura adottata arreca pregiudizio ai diritti dei singoli, più le esigenze legate alla motivazione della decisione devono essere elevate (DTF 112 Ia 107 consid. 2b; cfr. inoltre la sentenza 2A.496/2006 / 2A.497/2006 precitata). Sebbene la motivazione debba fare emergere le riflessioni dell'autorità in merito agli elementi (di fatto o di diritto) essenziali che hanno influenzato la decisione, l'autorità non è comunque tenuta a pronunciarsi su tutti i fatti, le argomentazioni e i mezzi di prova invocati dalle parti, ma può limitarsi a quelli che, senza arbitrio, le sembrano decisivi per la risoluzione della causa (DTF 126 I 97 consid. 2b, 112 Ia 107 consid. 2b). È sufficiente che l'amministrazione indichi brevemente i motivi della decisione e quali sono gli elementi alla base di quest'ultima (DTF 124 V 180 consid. 1a, confermata con la sentenza del Tribunale federale del 9 maggio 2000, in re I., ed in Pra 2001, n. 71, consid. 1 a/bb).</w:t>
      </w:r>
    </w:p>
    <w:p>
      <w:r>
        <w:rPr>
          <w:b/>
        </w:rPr>
        <w:t>E. 6.3</w:t>
      </w:r>
    </w:p>
    <w:p>
      <w:r>
        <w:t>Il diritto di ottenere una decisione motivata costituisce una garanzia costituzionale di natura formale, la cui violazione causa in principio l'annullamento della decisione impugnata indipendentemente dalle possibilità di esito favorevole del ricorso nel merito (DTF 126 I 19 consid. 2d/bb, 126 V 130 consid. 2b, 122 II 464 consid. 4a e giurisprudenza citata). Eccezionalmente un'eventuale violazione del diritto di essere sentito può essere sanata allorquando l'autorità che ha emanato la decisione, ha preso posizione in merito alle argomentazioni decisive nel quadro dello scambio degli scritti e che l'amministrato ha avuto la possibilità di esprimersi liberamente di fronte ad un'autorità di ricorso che disponga di piena cognizione (DTF 133 I 201 consid. 2.2, 130 II 530 consid. 7.3, 126 V 130 consid. 2b, 124 V 389 consid. 5a e 180 consid. 4a).</w:t>
      </w:r>
    </w:p>
    <w:p>
      <w:r>
        <w:rPr>
          <w:b/>
        </w:rPr>
        <w:t>E. 6.4</w:t>
      </w:r>
    </w:p>
    <w:p>
      <w:r>
        <w:t>In concreto, se la motivazione della decisione impugnata risulta effettivamente essere succinta, ciò non ha comunque impedito la ricorrente di comprenderne la portata e di deferirla all'istanza superiore. Nell'ambito del ricorso, infatti, ha potuto difendersi in maniera corretta, nella misura in cui è stata in grado di dedurre i fatti su cui la decisione si fonda e le ragioni per cui è stata pronunciata. Tuttavia, anche se la decisione fosse considerata non sufficientemente motivata, si rileva che tale carenza sarebbe sanata dal ricorso davanti a questo Tribunale, che dispone di un pieno potere d'esame (fatti e diritto). Visto quanto precede, la censura della ricorrente in ordine all'insufficienza della motivazione e, quindi, alla violazione del suo diritto di essere sentita, deve essere respinta.</w:t>
      </w:r>
    </w:p>
    <w:p>
      <w:r>
        <w:rPr>
          <w:b/>
        </w:rPr>
        <w:t>E. 7</w:t>
      </w:r>
    </w:p>
    <w:p>
      <w:r>
        <w:t>La ricorrente contesta la validità materiale della decisione dell'UAIE, chiedendo implicitamente che le sia riconosciuto il diritto ad una rendita d'invalidità.</w:t>
      </w:r>
    </w:p>
    <w:p>
      <w:r>
        <w:rPr>
          <w:b/>
        </w:rPr>
        <w:t>E. 8</w:t>
      </w:r>
    </w:p>
    <w:p>
      <w:r>
        <w:t>Secondo le norme applicabili, per avere diritto ad una rendita dell'assicurazione per l'invalidità svizzera, una cittadina italiana deve, cumulativamente, essere invalida ai sensi della legge svizzera ed avere versato contributi all'AVS/AI svizzera durante almeno tre anni (art. 36 LAI). A tale fine è possibile prendere in considerazione anche i contributi versati ad un'assicurazione sociale assimilata di uno Stato membro dell'UE o dell'Associazione europea di libero scambio (AELS), a condizione che almeno un anno di contributi sia registrato all'AVS/AI svizzera (FF 2005 pag. 4065; art. 45 del Regolamento n. 1408/71). In concreto, è pacifico che la ricorrente adempie la condizione della durata minima di contribuzione. Rimane ora da esaminare se sia invalida ai sensi di legge.</w:t>
      </w:r>
    </w:p>
    <w:p>
      <w:r>
        <w:rPr>
          <w:b/>
        </w:rPr>
        <w:t>E. 9.1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9.2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dell'ALC,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9.3</w:t>
      </w:r>
    </w:p>
    <w:p>
      <w:r>
        <w:t>Il diritto alla rendita, secondo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sei mesi dalla data in cui l'assicurato ha rivendicato il diritto alle prestazioni conformemente all'articolo 29 cpv. 1 LPGA, ma al più presto a partire dal mese seguente il compimento dei 18 anni (art. 29 cpv. 1 LAI).</w:t>
      </w:r>
    </w:p>
    <w:p>
      <w:r>
        <w:rPr>
          <w:b/>
        </w:rPr>
        <w:t>E. 9.4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9.5</w:t>
      </w:r>
    </w:p>
    <w:p>
      <w:r>
        <w:t>La nozione d'invalidità di cui all'art. 4 cpv. 1 LAI e 8 cpv. 1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pag. 84). La documentazione medica costituisce un importante elemento di giudizio per determinare quali lavori siano ancora ragionevolmente esigibili dall'assicurato, ma non spetta al medico graduare l'invalidità dell'assicurato (DTF 114 V 314).</w:t>
      </w:r>
    </w:p>
    <w:p>
      <w:r>
        <w:rPr>
          <w:b/>
        </w:rPr>
        <w:t>E. 9.6</w:t>
      </w:r>
    </w:p>
    <w:p>
      <w:r>
        <w:t>Occorre precisare che 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5 e 28 cpv. 2bis LAI e art. 8 cpv. 3 LPGA, art. 28a cpv. 2 LAI dal 1° gennaio 2008; metodo specifico). L'art. 27 OAI precisa che, per mansioni consuete di una persona senza attività lucrativa occupata nell'economia domestica, s'intendono gli usuali lavori domestici, l'educazione dei figli nonché le attività artistiche e di pubblica utilità. Per quanto riguarda la scelta del metodo di valutazione dell'invalidità di una persona assicurata che non esercita più un'attività lucrativa, si deve verificare quale sarebbe stata l'attività esercitata se non fosse subentrata l'invalidità. In altre parole, lo statuto dell'assicurato viene determinato valutando se lo stesso, da sano, quindi se non fosse subentrato il danno alla salute, avrebbe consacrato l'essenziale del suo lavoro all'economia domestica o ad un'occupazione remunerata, e questo tenendo conto dell'evoluzione della situazione fino all'emanazione della decisione impugnata. L'ipotetica ripresa di un'attività lucrativa va ammessa dove tale eventualità si presenti alla luce della situazione personale, familiare, sociale ed economica, con un grado di verosimiglianza preponderante (DTF 133 V 504 consid.3.3, 125 V 150 consid. 2c e 117 V 194 consid. 3b).</w:t>
      </w:r>
    </w:p>
    <w:p>
      <w:r>
        <w:rPr>
          <w:b/>
        </w:rPr>
        <w:t>E. 10</w:t>
      </w:r>
    </w:p>
    <w:p>
      <w:r>
        <w:t>Il giudice delle assicurazioni sociali fonda la sua decisione, salvo disposizioni di legge contrarie, su fatti che, senza essere stabiliti in modo irrefutabile, appaiono come i più verosimili, ossia che presentano un grado di verosimiglianza preponderante (DTF 126 V 353 consid. 5b e relativi riferimenti). Egli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pag. 109). 11.1 In concreto, dall'insieme della documentazione medica agli atti e, in particolare, dalla perizia E 213 del dott. B._______, medico dell'INPS, del 9 agosto 2010 (doc. 90), dal rapporto peritale delle dott.sse E._______e P._______, medici del SAM, del 23 agosto 2011 (doc. 116), e dalla presa di posizione della dott.ssa D._______, medico dell'UAIE, del 30 agosto 2011 (doc. 118), risulta la diagnosi, con influenza sulla capacità lavorativa, di alterazioni degenerative del rachide cervicale (bulging discale C5/6 e ernia discale C6/7), di sindrome mista ansioso-depressiva e d'ansia episodica parossistica, come pure la diagnosi, senza una tale influenza, d'ipertensione arteriosa, di lieve sindrome del tunnel carpale bilaterale, di dolori diffusi al cingolo scapolare ed agli altri arti non spiegati da patologia neurologica, di sindrome algica generalizzata aspecifica, di decondizionamento muscolare, di piedi cavi bilaterali con alluce valgo prevalentemente a sinistra e dita a martello dalle due parti, di disturbi statici del rachide (ipercifosi della dorsale alta con ampia scoliosi sinistroconvessa toracolombare) e d'obesità (100 kg per una statura di centosessantadue centimetri). Questa diagnosi è univoca agli atti e incontestata, dimodoché non vi sono motivi per scostarsene. 11.2 Rispetto alle conseguenze invalidanti delle affezioni diagnosticate, il dott. B._______ ha constatato, nella sua perizia E 213, che la ricorrente è in grado di svolgere lavori leggeri senza controindicazioni, ma non più il suo ultimo lavoro, il grado d'invalidità essendo valutato, secondo criteri propri del diritto italiano, al 60%. Gli specialisti del SAM hanno invece valutato, nel loro rapporto peritale, una capacità lavorativa globale del 70% da febbraio 2008, vale a dire dall'inizio della cura psichiatrica presso il dott. M._______(cfr. doc. 58 e 59), sia per l'attività d'ausiliaria delle pulizie che per quella di casalinga, intendendo la diminuzione del 30% della capacità lavorativa come riduzione del rendimento sull'arco di una giornata di lavoro normale di otto o nove ore, e ciò soprattutto a causa della patologia psichiatrica e per motivi reumatologici. I periti hanno specificato che le riduzioni del rendimento del 30% per le due attività non devono essere sommate, ma integrate, nella misura in cui entrambe sono dovute ad una maggiore affaticabilità e lentezza, implicanti pause più frequenti durante il lavoro. Dal punto di vista psichiatrico, nella perizia è rilevato che la riduzione del rendimento deriva dal fatto che la ricorrente presenta uno stato di patimento psichico, caratterizzato da una fragilità mentale iniziale aggravata da un'insufficiente capacità ad adeguarsi al contesto culturale svizzero, con episodi recidivanti d'ansia parossistica, patimento che non può però essere considerato particolarmente destabilizzante, visto che le sedute di psicoterapia con il dott. M._______avvengono una volta ogni tre mesi e che la loro frequenza non è stata aumentata. Dal lato reumatologico, nella perizia la riduzione del rendimento è imputata, in sostanza, ad un quadro algico tendenzialmente ubiquitario, prevalentemente diurno, d'intensità variabile, con la precisazione che sono presenti quindici dei diciotto punti fibromialgici positivi, ripartiti simmetricamente sulle parti superiore ed inferiore del corpo, ma anche due punti di controllo positivi, ciò che rivela il carattere aspecifico della sintomatologia algica generalizzata. Questa valutazione medico-teorica della capacità lavorativa è stata confermata dalla dott.ssa D._______ il 30 agosto e 25 novembre 2011 (doc. 118 e 126), nonché, nell'ambito della presente procedura, il 3 agosto 2012 (doc. 130), rilevando ogni volta, in sostanza, l'assenza di nuovi elementi medici suscettibili di mettere in discussione le conclusioni chiaramente argomentate dei periti del SAM. 11.3 Tenuto conto di quanto precede, questo Tribunale non può che constatare, seguendo il parere dettagliatamente esposto dai periti del SAM e confermato dalla dott.ssa D._______, che, a decorrere da febbraio 2008, ossia dall'inizio della cura psichiatrica presso il dott. N._______, la ricorrente rivela un'incapacità lavorativa del 30%, dai punti di vista psichiatrico e reumatologico presi insieme, intesa come riduzione del rendimento sull'arco di una giornata lavorativa di otto o nove ore, e ciò sia rispetto all'attività d'ausiliaria delle pulizie, sia rispetto a quella di casalinga. Questo Tribunale rileva peraltro che, in concreto, è giustificato determinare il grado d'invalidità riferendosi al limite percentuale della capacità lavorativa residua nell'ultima attività svolta (in tedesco, "Prozentvergleich"), visto che esso è notevole (70%) e che non è possibile realizzare un reddito più importante in attività sostitutive confacenti (DTF 114 V 310 consid. 3a; sentenza del Tribunale federale 9C_129/2008 del 7 agosto 2008 consid. 3.3.1).</w:t>
      </w:r>
    </w:p>
    <w:p>
      <w:r>
        <w:rPr>
          <w:b/>
        </w:rPr>
        <w:t>E. 12</w:t>
      </w:r>
    </w:p>
    <w:p>
      <w:r>
        <w:t>Di conseguenza, il ricorso deve essere respinto e la decisione impugnata confermata.</w:t>
      </w:r>
    </w:p>
    <w:p>
      <w:r>
        <w:rPr>
          <w:b/>
        </w:rPr>
        <w:t>E. 13</w:t>
      </w:r>
    </w:p>
    <w:p>
      <w:r>
        <w:t>Secondo l'art. 63 cpv. 1 PA, le spese processuali sono di regola messe a carico della parte soccombente. In concreto, visto l'esito della procedura, le spese processuali sono poste a carico della ricorrente e compensate con l'anticipo versato l'11 settembre 2012. In conformità con l'art. 64 cpv. 1 PA, l'autorità di ricorso, se ammette il ricorso in tutto o in parte, può assegnare al ricorrente una indennità per le spese indispensabili e relativamente elevate che ha sopportato (spese ripetibili). Tenuto conto dell'esito della procedura, non si assegnano alla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