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C-448/2021 vom 5. September 2022</w:t>
      </w:r>
    </w:p>
    <w:p>
      <w:r>
        <w:t>Bundesverwaltungsgericht, 2022-09-05, DE</w:t>
      </w:r>
    </w:p>
    <w:p>
      <w:r>
        <w:rPr>
          <w:b/>
        </w:rPr>
        <w:t xml:space="preserve">Quelle: </w:t>
      </w:r>
      <w:r>
        <w:t>https://mcp.opencaselaw.ch/entscheid/bvger_C-448_2021</w:t>
      </w:r>
    </w:p>
    <w:p>
      <w:r>
        <w:t>FR: TAF C-448/2021 du 5 septembre 2022</w:t>
      </w:r>
    </w:p>
    <w:p>
      <w:r>
        <w:t>IT: TAF C-448/2021 del 5 settembre 2022</w:t>
      </w:r>
    </w:p>
    <w:p>
      <w:pPr>
        <w:pStyle w:val="Heading2"/>
      </w:pPr>
      <w:r>
        <w:t>Regeste</w:t>
      </w:r>
    </w:p>
    <w:p>
      <w:r>
        <w:t>Rentenanspruch</w:t>
      </w:r>
    </w:p>
    <w:p>
      <w:pPr>
        <w:pStyle w:val="Heading2"/>
      </w:pPr>
      <w:r>
        <w:t>Erwägungen</w:t>
      </w:r>
    </w:p>
    <w:p>
      <w:r>
        <w:rPr>
          <w:b/>
        </w:rPr>
        <w:t>E. 1.1</w:t>
      </w:r>
    </w:p>
    <w:p>
      <w:r>
        <w:t>Das Bundesverwaltungsgericht ist zur Behandlung der vorliegenden Beschwerde zuständig (Art. 31, 32 und 33 Bst. d VGG; Art. 69 Abs. 1 Bst. b IVG [SR 831.20]). Das Verfahren vor dem Bundesverwaltungsgericht rich- tet sich grundsätzlich nach dem VwVG (SR 172.021 [Art. 37 VGG]). Vor- behalten bleiben gemäss Art. 3 Bst. dbis VwVG die besonderen Bestim- mungen des ATSG (SR 830.1; zu verfahrensrechtlichen Neuerungen vgl. BGE 132 V 215 E. 3.1.2, zu den allgemeinen intertemporalrechtlichen Regeln BGE 130 V 1 E. 3.2).</w:t>
      </w:r>
    </w:p>
    <w:p>
      <w:r>
        <w:rPr>
          <w:b/>
        </w:rPr>
        <w:t>E. 1.2</w:t>
      </w:r>
    </w:p>
    <w:p>
      <w:r>
        <w:t>Der Beschwerdeführer ist als Adressat der angefochtenen Verfügung durch diese besonders berührt und hat ein schutzwürdiges Interesse an deren Aufhebung oder Abänderung, weshalb er zur Erhebung der Be- schwerde legitimiert ist (Art. 48 Abs. 1 VwVG; siehe auch Art. 59 ATSG [SR 830.1]). Nachdem auch der Kostenvorschuss rechtzeitig geleistet wurde (Art. 63 Abs. 4 VwVG), ist auf die frist- und formgerecht eingereichte Beschwerde einzutreten (Art. 50 Abs. 1 und Art. 52 Abs. 1 VwVG; siehe auch Art. 60 ATSG).</w:t>
      </w:r>
    </w:p>
    <w:p>
      <w:r>
        <w:rPr>
          <w:b/>
        </w:rPr>
        <w:t>E. 2</w:t>
      </w:r>
    </w:p>
    <w:p>
      <w:r>
        <w:t>Anfechtungsobjekt bildet die Verfügung vom 22. Dezember 2020, mit wel-</w:t>
      </w:r>
    </w:p>
    <w:p>
      <w:r>
        <w:t>C-448/2021 Seite 5 cher die Vorinstanz dem Beschwerdeführer ab 1. Februar 2019 eine Drei- viertelsrente bei einem Invaliditätsgrad von 69% zugesprochen hat. Vor dem Bundesverwaltungsgericht einzig umstritten und noch zu prüfen ist die Frage, ob dem Beschwerdeführer ein höherer Tabellenlohnabzug als der von der Vorinstanz gewährte in Höhe von 5% zusteht, so dass bei einem Invaliditätsgrad von über 70% eine ganze Rente resultieren würde.</w:t>
      </w:r>
    </w:p>
    <w:p>
      <w:r>
        <w:rPr>
          <w:b/>
        </w:rPr>
        <w:t>E. 3</w:t>
      </w:r>
    </w:p>
    <w:p>
      <w:r>
        <w:t>Der Beschwerdeführer ist Schweizer Staatsangehöriger mit Wohnsitz in der Dominikanischen Republik. Die Schweiz hat mit diesem Staat kein So- zialversicherungsabkommen abgeschlossen. Damit richtet sich die Prü- fung seines Anspruchs auf eine Rente der schweizerischen Invalidenversi- cherung allein nach den schweizerischen Rechtsvorschriften.</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Sowohl das Verwaltungsverfahren wie auch der erstinstanzliche Sozi- alversicherungsprozess sind vom Untersuchungsgrundsatz beherrscht (vgl. Art. 43 Abs. 1 ATSG; Art. 61 Bst. c ATSG; Art. 12 VwVG). Danach hat die Verwaltung und im Beschwerdeverfahren das Gericht von Amtes we- gen für die richtige und vollständige Abklärung des erheblichen Sachver- halts zu sorgen (vgl. BGE 136 V 376 E. 4.1.1). Sofern das Gesetz nicht etwas Abweichendes vorsieht, gilt im Sozialversicherungsrecht der Be- weisgrad der überwiegenden Wahrscheinlichkeit (BGE 143 V 168 E. 2; 138 V 218 E. 6).</w:t>
      </w:r>
    </w:p>
    <w:p>
      <w:r>
        <w:rPr>
          <w:b/>
        </w:rPr>
        <w:t>E. 3.3</w:t>
      </w:r>
    </w:p>
    <w:p>
      <w:r>
        <w:t>Am 1. Januar 2022 sind Änderungen des Bundesgesetzes über die In- validenversicherung (IVG; SR 831.20) vom 19. Juni 1959 und (neben wei- teren) des Bundesgesetzes über den Allgemeinen Teil des Sozialversiche- rungsrechts (ATSG; SR 830.1) in Kraft getreten (Weiterentwicklung der IV; AS 2021 705; BBl 2017 2535). Weil in zeitlicher Hinsicht grundsätzlich die- jenigen materiellen Rechtssätze massgeblich sind, die bei der Erfüllung des rechtlich zu ordnenden oder zu Rechtsfolgen führenden Tatbestandes Geltung haben (BGE 127 V 466 E.1), und weil ferner das Sozialversiche- rungsgericht bei der Beurteilung einer Streitsache in der Regel auf den bis zum Zeitpunkt des Erlasses der streitigen Verwaltungsverfügung (hier: 22. Dezember 2020) eingetretenen Sachverhalt abstellt (BGE 132 V 215 E. 3.1.1, 137 V 1 E. 3, 147 V 308 E. 5.1), sind im vorliegenden Fall die bis</w:t>
      </w:r>
    </w:p>
    <w:p>
      <w:r>
        <w:t>C-448/2021 Seite 6 und mit 22. Dezember 2020 geltenden materiellrechtlichen Bestimmungen anwendbar (BGE 132 V 215 E. 3.1.1). Sie werden im Folgenden denn auch in dieser Fassung zitiert.</w:t>
      </w:r>
    </w:p>
    <w:p>
      <w:r>
        <w:rPr>
          <w:b/>
        </w:rPr>
        <w:t>E. 3.4</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 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 bare Arbeit zu leisten. Bei langer Dauer wird auch die zumutbare Tätigkeit in einem anderen Beruf oder Aufgabenbereich berücksichtigt (Art. 6 ATSG).</w:t>
      </w:r>
    </w:p>
    <w:p>
      <w:r>
        <w:rPr>
          <w:b/>
        </w:rPr>
        <w:t>E. 3.5</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 arbeitsunfähig (i.S.v. Art. 6 ATSG) gewesen sind (Bst. b) und nach Ablauf dieses Jahres zu mindestens 40 % invalid (i.S.v. Art. 8 ATSG) sind (Bst. c). Bei einem Invaliditätsgrad von mindestens 40 % bestehe Anspruch auf eine Viertelsrente, bei mindestens 50 % auf eine halbe Rente, bei mindestens 60 % auf eine Dreiviertelsrente und bei mindestens 70 % auf eine ganze Rente (Art. 28 Abs. 2 IVG). Zusätzlich kumulativ zu erfüllende Voraussetzung für einen Rentenanspruch ist, dass der Versicherte im Sinne von Art. 36 Abs. 1 IVG beim Eintritt der Invalidität während mindestens drei Jahren Beiträge an die Alters- Hinterlassenen- und Invalidenversicherung (AHV/IV) geleistet hat, was vorliegend unbe- stritten der Fall ist (IV-act. 113 S. 5-7).</w:t>
      </w:r>
    </w:p>
    <w:p>
      <w:r>
        <w:rPr>
          <w:b/>
        </w:rPr>
        <w:t>E. 3.6</w:t>
      </w:r>
    </w:p>
    <w:p>
      <w:r>
        <w:t>Bei erwerbstätigen Versicherten ist der Invaliditätsgrad gemäss Art. 16 ATSG in Verbindung mit Art. 28a Abs. 1 IVG aufgrund eines Einkommens-</w:t>
      </w:r>
    </w:p>
    <w:p>
      <w:r>
        <w:t>C-448/2021 Seite 7 vergleichs zu bestimmen. Dazu wird das Erwerbseinkommen, das die ver- sicherte Person nach Eintritt der Invalidität und nach Durchführung der me- dizinischen Behandlung und allfälliger Eingliederungsmassnahmen durch eine ihr zumutbare Tätigkeit bei ausgeglichener Arbeitsmarktlage erzielen könnte (Invalideneinkommen), in Beziehung gesetzt zum Erwerbseinkom- men, das sie erzielen könnte, wenn sie nicht invalid geworden wäre (Vali- deneinkommen). Der Einkommensvergleich hat in der Regel in der Weise zu erfolgen, dass die beiden hypothetischen Erwerbseinkommen ziffern- mässig möglichst genau ermittelt und einander gegenübergestellt werden, worauf sich aus der Einkommensdifferenz der Invaliditätsgrad bestimmen lässt (allgemeine Methode des Einkommensvergleichs; BGE 130 V 343 E. 3.4.2; Urteil des BGer 8C_536/2017 vom 5. März 2018 E. 5.1).</w:t>
      </w:r>
    </w:p>
    <w:p>
      <w:r>
        <w:rPr>
          <w:b/>
        </w:rPr>
        <w:t>E. 3.7</w:t>
      </w:r>
    </w:p>
    <w:p>
      <w:r>
        <w:t>Für die Ermittlung des Valideneinkommens ist nach der Rechtspre- chung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 rischer Erfahrung entspricht, dass die bisherige Tätigkeit ohne Gesund- heitsschaden fortgesetzt worden wäre. Ausnahmen von diesem Erfah- rungssatz müssen mit überwiegender Wahrscheinlichkeit erstellt sein (BGE 139 V 28 E. 3.3.2; 134 V 322 E. 4.1; Urteil des BGer 8C_897/2017 vom 14. Mai 2018 E. 3.1). Die Einkommensermittlung hat so konkret wie möglich zu erfolgen. Dabei kann das Einkommen von Selbstständigerwer- benden angesichts der in Art. 25 Abs. 1 IVV vorgeschriebenen Parallelisie- rung der IV-rechtlich massgebenden hypothetischen Vergleichseinkom- men mit den AHV-rechtlich beitragspflichtigen Einkommen grundsätzlich aufgrund der Einträge aus dem individuellen Konto (IK) bestimmt werden. Weist das erzielte Einkommen starke und verhältnismässig kurzfristig in Erscheinung getretene Schwankungen auf, ist dabei auf den während ei- ner längeren Zeitspanne erzielten Durchschnittsverdienst abzustellen. Der versicherten Person als auch der IV-Stelle steht jedoch der Gegenbeweis offen, dass das tatsächlich erzielte (beitragspflichtige) Einkommen höher oder tiefer ist als die verabgabten IK-Einkünfte (Urteil des BGer 9C_771/2017 vom 29. Mai 2018 E. 3.6.1 mit Hinweisen).</w:t>
      </w:r>
    </w:p>
    <w:p>
      <w:r>
        <w:rPr>
          <w:b/>
        </w:rPr>
        <w:t>E. 3.8</w:t>
      </w:r>
    </w:p>
    <w:p>
      <w:r>
        <w:t>Für die Festsetzung des Invalideneinkommens ist primär von der be- ruflich-erwerblichen Situation auszugehen, in welcher die versicherte Per- son konkret steht. Übt sie nach Eintritt der Invalidität eine Erwerbstätigkeit aus, bei der – kumulativ – besonders stabile Arbeitsverhältnisse gegeben</w:t>
      </w:r>
    </w:p>
    <w:p>
      <w:r>
        <w:t>C-448/2021 Seite 8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 men hat, so können insbesondere Tabellenlöhne gemäss LSE herangezo- gen werden (BGE 139 V 592 E. 2.3 mit Hinweis; Urteil des BGer 9C_422/2017 vom 18. Mai 2018 E. 4.1), wobei grundsätzlich immer die ak- tuellsten statistischen Daten zu verwenden sind (BGE 143 V 295 E. 2.3). In der Regel ist auf die LSE-Tabelle TA1 und den darin enthaltenen Total- wert abzustellen (Urteil des BGer 8C_457/2017 vom 11. Oktober 2017 E. 6.2; vgl. auch Urteil des BGer 9C_358/2017 vom 2. Mai 2018 E. 5.2 mit Hinweisen), wobei aber auf Löhne einzelner Sektoren oder gar einzelner Branchen abgestellt werden kann, wenn dies als sachgerecht erscheint, um der im Einzelfall zumutbaren erwerblichen Verwertung der verbleiben- den Arbeitsfähigkeit Rechnung zu tragen. Dies geschieht namentlich bei Personen, die vor der Gesundheitsschädigung lange Zeit in diesem Be- reich tätig gewesen sind und bei denen eine Arbeit in anderen Bereichen kaum in Frage kommt. Es besteht jedoch kein Grundsatz, wonach stets auf die Tabelle TA1 abzustellen ist (Urteil des BGer 9C_841/2013 vom 7. März 2014 E. 4.2). Wird auf die LSE 2012 oder neuer abgestellt, ist – zumindest bis auf Weiteres – nur die Tabelle TA1 zu verwenden (BGE 142 V 178 E. 2.5.7). Da den Tabellenlöhnen generell eine Arbeitszeit von 40 Wochen- stunden zu Grunde liegt, ist eine Umrechnung auf eine betriebsübliche durchschnittliche Wochenarbeitszeit erforderlich (BGE 126 V 75 E. 3b/bb). Zudem ist eine Anpassung an die Nominallohnentwicklung vorzunehmen, wobei nach Geschlechtern zu differenzieren, das heisst auf den branchen- spezifischen Lohnindex für Frauen oder Männer abzustellen ist (BGE 129 V 408 E. 3.1.2).</w:t>
      </w:r>
    </w:p>
    <w:p>
      <w:r>
        <w:rPr>
          <w:b/>
        </w:rPr>
        <w:t>E. 3.9</w:t>
      </w:r>
    </w:p>
    <w:p>
      <w:r>
        <w:t>Wird das Invalideneinkommen auf der Grundlage von statistischen Durchschnittswerten (Bundesamt für Statistik, Schweizerische Lohnstruk- turerhebung [LSE]) ermittelt, ist der entsprechende Ausgangswert (Ta- bellenlohn) allenfalls zu kürzen. Damit soll der Tatsache Rechnung getra- gen werden, dass persönliche und berufliche Merkmale, wie Art und Aus- mass der Behinderung, Lebensalter, Dienstjahre, Nationalität oder Aufent- haltskategorie und Beschäftigungsgrad Auswirkungen auf die Lohnhöhe haben können (BGE 142 V 178 E. 1.4 und 2.5.9; 124 V 321 E. 3b/aa). Ein (behinderungsbedingt oder anderweitig begründeter) Abzug kann aber nur</w:t>
      </w:r>
    </w:p>
    <w:p>
      <w:r>
        <w:t>C-448/2021 Seite 9 vorgenommen werden, wenn im Einzelfall Anhaltspunkte dafür bestehen, dass die versicherte Person wegen eines oder mehrerer der genannten Kriterien ihre gesundheitlich bedingte (Rest-) Arbeitsfähigkeit auch auf ei- nem ausgeglichenen Arbeitsmarkt nur mit unterdurchschnittlichem Erfolg erwerblich verwerten kann (BGE 135 V 297 E. 5.2 mit Hinweisen; Urteil des BGer 8C_379/2011 vom 26. August 2011 E. 4.2.2). Der Abzug soll aber nicht automatisch erfolgen. Er ist unter Würdigung der Umstände im Einzelfall nach pflichtgemässem Ermessen gesamthaft zu schätzen und darf 25 % nicht übersteigen (BGE 135 V 297 E. 5.2; 134 V 322 E. 5.2; 126 V 75 E. 5b m.H.; Urteil des BGer 9C_266/2017 vom 29. Mai 2018 E. 3.1). Weiter ist darauf hinzuweisen, dass das Bundesverwaltungsgericht sein Ermessen hinsichtlich des leidensbedingten Abzugs nicht ohne triftigen Grund an die Stelle desjenigen der Verwaltung setzen darf. Es muss sich hierzu auf Gegebenheiten stützen können, welche seine abweichende Er- messensausübung als naheliegender erscheinen lassen (vgl. hierzu BGE 126 V 353 E. 5d, 123 V 150 E. 2; Urteil des BGer 8C_552/2017 vom 18. Januar 2018 E. 4.3 m.w.H.; Urteil des Eidgenössischen Versicherungs- gerichts [EVG; seit 1. Januar 2007: Bundesgericht] C 43/06 vom 19. April 2006 E. 1.2).</w:t>
      </w:r>
    </w:p>
    <w:p>
      <w:r>
        <w:rPr>
          <w:b/>
        </w:rPr>
        <w:t>E. 4</w:t>
      </w:r>
    </w:p>
    <w:p>
      <w:r>
        <w:t>Gestützt auf die vorliegend unbestrittene, vollständige und einheitliche me- dizinischen Aktenlage leidet der Beschwerdeführer dahingehend an den Folgen des Verkehrsunfalls vom 11. Januar 2018, als die von HNO-Fach- arzt Prof. Dr. med. F._______ festgestellte an Anosmie grenzende Ge- ruchsstörung (fast vollständiger Verlust des Geruchssinns) beziehungs- weise subjektive Anosmie sowie Hypogeusie (teilweiser Ausfall des Ge- schmacksinns; vgl. Arztbericht vom 24. April 2018 [IV-act. 70], Schreiben vom 28. August 2018 [Suva-act. 109], Schreiben vom 7. Mai 2019 [Suva- act. 170], Arztbericht vom 22. Oktober 2019 [IV-act. 68]; vgl. auch kreis- ärztliche Beurteilung von Dr. med. G._______, Fachärztin für Oto-Rhino- Laryngologie und Arbeitsmedizin, vom 7. Mai 2018 [Suva-act. 69]) seine zuletzt ausgeübte Tätigkeit als Winemaker und Weinhändler verunmögli- chen (RAD-ärztliche Stellungnahme vom 31. März 2020 von Dr. med. H._______, Facharzt Physikalische Medizin und Rehabilitation [IV- act. 90]). Aus diesem Grund wird auch seine in diesem Bereich tätige AG liquidiert (vgl. Handelsregisterauszug [IV-act. 78]). Zudem ging die Vorinstanz ebenfalls gestützt auf die RAD-ärztliche Stellungnahme vom 31. März 2020 (IV-act. 90) davon aus, dass der Beschwerdeführer trotz bleibenden Gesundheitsbeeinträchtigungen an beiden Schultern (vgl. Suva-act. 33, 43, 45, 73, 79, 104, 114, 124, 134, 137, 150, 160, 211, 230)</w:t>
      </w:r>
    </w:p>
    <w:p>
      <w:r>
        <w:t>C-448/2021 Seite 10 und beiden Knien (vgl. Suva-act. 42, 44, 49, 129, 233, 235) in einer ange- passten Tätigkeit von 11. Januar 2018 bis 10. September 2018 vollumfäng- lich arbeitsunfähig, aber ab 11. September 2018 (einen Monat nach der Luxation der rechten Schulter am 11. August 2018) wieder vollumfänglich arbeitsfähig sei. Dabei könnten leichte, wechselbelastende Tätigkeiten, ohne zeitliche Einschränkungen, ohne Heben und Tragen, ohne Überkopf- arbeiten, ohne Besteigen von Leitern/Gerüsten und ohne Knien und Bü- cken ausgeübt werden. Vorliegend ist diese Beurteilung der Arbeitsfähig- keit des Beschwerdeführers unbestritten und es besteht aufgrund der Akten auch kein Anlass, daran zu zweifeln.</w:t>
      </w:r>
    </w:p>
    <w:p>
      <w:r>
        <w:rPr>
          <w:b/>
        </w:rPr>
        <w:t>E. 5.1</w:t>
      </w:r>
    </w:p>
    <w:p>
      <w:r>
        <w:t>Bei der Bemessung des Valideneinkommens wandte die Vorinstanz die in der Rechtsprechung etablierten Methoden an (siehe oben E. 3.7), indem sie das durchschnittliche monatliche Einkommen der letzten drei Jahre un- ter Berücksichtigung der Nominallohnentwicklung errechnete und auf Fr. 18'071.12 kam (vgl. IV-act. 92). Dieses Ergebnis gründet auf den Anga- ben in den Fragebögen für den Versicherten vom 18. Dezember 2019 (IV-act. 78 S. 2-13) und für Selbständigerwerbende vom 18. Dezember 2019 (IV-act. 78 S. 14-19), dem Handelsregisterauszug (IV-act. 78 S. 1), den Jahresrechnungen 2016-2018 (IV-act. 78 S. 20-43), den Steuerunter- lagen 2016-2017 (IV-act. 78 S. 44-77) sowie dem IK-Auszug (vgl. IV- act. 92 S. 1, Suva-act. 100 S. 7 und 142 S. 3). Es ist unbestritten, nachvoll- ziehbar und bietet keinen Anlass zu Beanstandungen, weshalb darauf ab- zustellen ist.</w:t>
      </w:r>
    </w:p>
    <w:p>
      <w:r>
        <w:rPr>
          <w:b/>
        </w:rPr>
        <w:t>E. 5.2</w:t>
      </w:r>
    </w:p>
    <w:p>
      <w:r>
        <w:t>Bei der Bestimmung des Invalideneinkommens ging die Vorinstanz vom monatlichen Bruttolohn in der Schweiz für 40 Wochenstunden für ei- nen Arbeitnehmer (Kompetenzniveau 2) im allgemeinen privaten Sektor (1- 96) aus, was einen Betrag von Fr. 5'646.– ergibt. Angesichts dessen, dass der Beschwerdeführer gelernter Flugzeugmechaniker ist, und darüber hin- aus vor seiner letzten selbständigen Tätigkeit als Winemaker und Wein- händler bereits schon als Privatskilehrer, selbständig Erwerbender in ei- nem Möbelgeschäft, Vermittler von Temporärangestellten und als Betreiber eines Solariums gearbeitet hat, erscheint es gerechtfertigt, nicht vom Kom- petenzniveau 1 – einfache Tätigkeiten körperlicher oder handwerklicher Art – auszugehen. Die Anwendung des Kompetenzniveaus 2 – Praktische Tätigkeiten wie Verkauf/Pflege/Datenverarbeitung und Administration/ Bedienen von Maschinen und elektronischen Geräten/Sicherheits-</w:t>
      </w:r>
    </w:p>
    <w:p>
      <w:r>
        <w:t>C-448/2021 Seite 11 dienst/Fahrdienst – ist hier sachgerecht und trägt den beruflichen Fähig- keiten sowie Vorkenntnissen des Beschwerdeführers hinreichend Rech- nung. Den Betrag von Fr. 5'646.– rechnete die Vorinstanz auf die bran- chenüblichen 41,7 Wochenstunden auf und berücksichtigte die Nominal- lohnentwicklung bis 2017, was Fr. 5'912.25 ergab. Diese Berechnungen sind unbestritten und auch aufgrund der Akten nicht zu beanstanden. Auf das Invalideneinkommen von Fr. 5'912.25 ist daher ebenfalls abzustellen.</w:t>
      </w:r>
    </w:p>
    <w:p>
      <w:r>
        <w:rPr>
          <w:b/>
        </w:rPr>
        <w:t>E. 6.1</w:t>
      </w:r>
    </w:p>
    <w:p>
      <w:r>
        <w:t>Wie bereits oben festgehalten (vgl. E. 5.2), beanstandet der Beschwer- deführer zu Recht nicht, dass die Vorinstanz bei der Bestimmung des In- valideneinkommens die LSE-Tabellenlöhne 2016 beigezogen, auf das Kompetenzniveau 2 im allgemeinen privaten Sektor (1-96) sowie die bran- chenüblichen 41,7 Arbeitsstunden pro Woche abgestellt und den auf 2017 indexierten Monatslohn auf Fr. 5'912.25 festgelegt hat (IV-act. 92 S. 2). In seinem Einwand vom 14. September 2020 (IV-act. 106) wie auch in seiner Beschwerde vom 1. Februar 2021 (BVGer-act. 1) machte der Beschwer- deführer einzig geltend, dass ihm ein höherer Tabellenlohnabzug als 5% zustehe. Er argumentiert, unter Berücksichtigung der Kriterien "Lebensal- ter" und "Dienstjahre/Betriebszugehörigkeit" müsse ihm ein Tabellenlohn- abzug von mindestens 10% zustehen, da das Bundesgericht in gewissen Entscheiden das fortgeschrittene Alter ab 50 Jahre als Grund für einen Ab- zug zulasse. Ein älterer Invalider, der aus gesundheitlichen Gründen seine Berufstätigkeit und seinen Arbeitsplatz ändern müsse, könne von Erfahrun- gen, die auf langer Firmentreue und der damit verbundenen Berufserfah- rung basierten, nicht profitieren. Es sei gerichtsnotorisch, dass die Flexibi- lität und die Lernfähigkeit im Alter abnähmen. Zudem "lohne" sich die not- wendige Einarbeitungszeit für einen Arbeitgeber bei einer Person, die kurz vor Abschluss des Erwerbslebens stehe, weniger als bei jungen Personen. Dem zum Zeitpunkt der Beschwerdeerhebung 60-jährigen Beschwerde- führer verbleibe eine Aktivitätsdauer von fünf Jahren, in der vermutlich ein Wechsel von einer selbständigen in eine unselbständige Tätigkeit bevor- stehe.</w:t>
      </w:r>
    </w:p>
    <w:p>
      <w:r>
        <w:rPr>
          <w:b/>
        </w:rPr>
        <w:t>E. 6.2</w:t>
      </w:r>
    </w:p>
    <w:p>
      <w:r>
        <w:t>Die Vorinstanz hat unter Berücksichtigung aller persönlichen und be- ruflichen Umstände einen Abzug von 5% vom Invalideneinkommen in die- sem Fall als angemessen betrachtet (Bemessung der Invalidität vom 30. April 2020 [IV-act. 92 S. 2]). Nachdem sie die Verfügung der Suva vom 25. Mai 2020 (IV-act. 108) erhalten hatte, bei der eine (rein unfallbedingte)</w:t>
      </w:r>
    </w:p>
    <w:p>
      <w:r>
        <w:t>C-448/2021 Seite 12 Erwerbsunfähigkeit von 61% resultierte, unterzog sie ihren Einkommens- vergleich einer erstmaligen internen Überprüfung (IV-act. 94). Dabei bestä- tigte sie das bisherige Resultat (IV-act. 96). Auf die einwandweisen Vor- bringen des Beschwerdeführers hin überprüfte sie das Ergebnis am 24. September 2020 (IV-act. 109) ein zweites Mal und äusserte sich dahin- gehend, dass der Tabellenlohnabzug von 5% gerechtfertigt sei, da mehrere Tätigkeiten in den Bereichen Produktion und Dienstleistungen zumutbar (unter Berücksichtigung der funktionellen Einschränkungen) seien und der Beschwerdeführer seiner beruflichen Karriere nach zu urteilen Kenntnisse im technischen Bereich sowie im Dienstleistungssektor aufweise. Aufgrund seiner langjährigen selbständigen Erwerbstätigkeit könnten zudem auch Kenntnisse im administrativen Bereich vorausgesetzt werden. Diese Be- gründung ist auch der angefochtenen Verfügung vom 22. Dezember 2020 zu entnehmen (IV-act. 111). Auf Beschwerdeebene hielt die Vorinstanz in ihrer Vernehmlassung vom 15. März 2021 insbesondere fest, der Be- schwerdeführer sei gelernter Flugzeugmechaniker. Er habe als Privatski- lehrer, als selbständig Erwerbender in einem Möbelgeschäft, als Vermittler von Temporärangestellten und als Betreiber eines Solariums gearbeitet. Seit 2001 und bis zu seinem Unfall am 11. Januar 2018 sei er als selbstän- diger Winemaker und Weinhändler tätig gewesen. Im Grunde genommen stelle das Alter nach bundesgerichtlicher Rechtsprechung keinen Grund für einen Abzug dar. Die Rechtsprechung habe sodann in diesem Zusammen- hang verschiedentlich darauf hingewiesen, dass sich gemäss den LSE- Erhebungen das Alter bei Männern im Alterssegment von 50 bis 64/65 bei Stellen ohne Kaderfunktion sogar eher lohnerhöhend auswirke. Es über- zeuge nicht, dass im Falle der Gewährung eines Abzuges auf jeden Fall ein solcher von 10% zu gewähren sei. Diese Ansicht finde sich auch nicht in der Rechtsprechung. Der Abzug sei nach pflichtgemässem Ermessen gesamthaft zu schätzen und dabei sei den Besonderheiten jedes Einzel- falls Rechnung zu tragen. Der Beschwerdeführer könne in verschiedenen Bereichen von seinen langjährigen Erfahrungen als selbständiger Wein- händler auf dem ausgeglichenen Arbeitsmarkt profitieren und es fehlten Hinweise dafür, wonach er in seiner Flexibilität oder Lernfähigkeit beein- trächtigt wäre. Entgegen der Auffassung des Rechtsvertreters rechtfertige es sich nicht, Beeinträchtigungen aufgrund des Alters anzunehmen. Der Beschwerdeführer sei in einer leidensangepassten Tätigkeit nicht einge- schränkt und es bestehe auch noch keine lange Abwesenheit vom Arbeits- markt. Unter Berücksichtigung all dieser Gesichtspunkte lasse sich ein hö- herer Abzug vom Tabellenlohn nicht begründen.</w:t>
      </w:r>
    </w:p>
    <w:p>
      <w:r>
        <w:t>C-448/2021 Seite 13</w:t>
      </w:r>
    </w:p>
    <w:p>
      <w:r>
        <w:rPr>
          <w:b/>
        </w:rPr>
        <w:t>E. 6.3</w:t>
      </w:r>
    </w:p>
    <w:p>
      <w:r>
        <w:t>Die Vorinstanz hat mit einem Tabellenlohnabzug von 5% den persönli- chen und beruflichen Umständen des Beschwerdeführers insoweit Rech- nung getragen, als sie damit seine funktionellen Einschränkungen und seine langjährige selbständige Erwerbstätigkeit angemessen berücksich- tigt hat. Inwiefern sie das ihr in Bezug auf die Abzugshöhe zustehende Er- messen rechtsfehlerhaft ausgeübt haben soll, indem sie das fortge- schrittene Lebensalter des Beschwerdeführers und den Faktor Dienst- jahre/Betriebszugehörigkeit bei gesamthafter Betrachtung im vorliegenden Fall nicht als Abzugsgründe betrachtet hat, ist mit Blick auf die Ausbildung, die vielseitigen – sich in unterschiedlichen unselbständigen wie auch in selbständigen Tätigkeiten niederschlagenden – Begabungen und die da- rauf gründende reichhaltige Berufserfahrung des Beschwerdeführers in den verschiedensten Bereichen nicht ersichtlich.</w:t>
      </w:r>
    </w:p>
    <w:p>
      <w:r>
        <w:rPr>
          <w:b/>
        </w:rPr>
        <w:t>E. 6.3.1</w:t>
      </w:r>
    </w:p>
    <w:p>
      <w:r>
        <w:t>Dass sich der Faktor "Lebensalter" bei diesem beruflichen Werde- gang als lohnrelevanter Nachteil erweisen könnte, scheint auch unter Be- rücksichtigung der aktuellen bundesgerichtlichen Rechtsprechung (BGE 146 V 16 E. 7.2.1 f.; Urteile des BGer 8C_115/2021 vom 10. August 2021 E. 4.1 f., 9C_702/2020, 9C_703/2020 vom 1. Februar 2021 E. 6.3.1 f. und 8C_151/2020 vom 15. Juli 2020 E. 6.3.3) für den Einzelfall des Be- schwerdeführers nicht zuzutreffen, zumal das Alter vorliegend seiner Fle- xibilität und Lernfähigkeit keinen Abbruch tut und aus diesem Grund auch keine zusätzlich ins Gewicht fallenden Lohneinbussen auf dem ausgegli- chenen Arbeitsmarkt zu erwarten sind. Auch bei der Anstellung junger Per- sonen geht der Arbeitgeber das Risiko ein, dass sich der Aufwand einer Einarbeitungszeit nicht "lohnt", da das Arbeitsverhältnis jederzeit gekündigt werden kann. Schliesslich verbleibt dem Beschwerdeführer seit Erlass der angefochtenen Verfügung noch eine Aktivitätsdauer von vier Jahren und sieben Monaten und es bestand bis dahin auch keine lange Arbeitsabsti- nenz.</w:t>
      </w:r>
    </w:p>
    <w:p>
      <w:r>
        <w:rPr>
          <w:b/>
        </w:rPr>
        <w:t>E. 6.3.2</w:t>
      </w:r>
    </w:p>
    <w:p>
      <w:r>
        <w:t>Hinsichtlich des Kriteriums "Dienstjahre" beziehungsweise "Betriebs- zugehörigkeit" erachtet es die bundesgerichtliche Rechtsprechung zwar ei- nerseits als plausibel, dass der Verlust einer Arbeitsstelle nach einer lang dauernden Anstellung auch den Verlust des (allenfalls) lohnrelevanten Vor- teils der bisherigen Dienstjahre nach sich zieht. Andererseits ist nach Rechtsprechung eine lange Dienstdauer beim gleichen Arbeitgeber auf dem ausgeglichenen Arbeitsmarkt aber grundsätzlich positiv zu werten, in- dem die durch die langjährige Betriebstreue ausgewiesene Zuverlässigkeit und Tüchtigkeit sich bei einem anderen Arbeitgeber im Anfangslohn nie- derschlägt (Urteile des BGer 8C_552/2017 vom 18. Januar 2018 E. 5.4.1,</w:t>
      </w:r>
    </w:p>
    <w:p>
      <w:r>
        <w:t>C-448/2021 Seite 14 8C_477/2016 vom 23. November 2016 E. 4.2; 8C_97/2014 vom 16. Juli 2014 E. 4.2 und 9C_455/2013 vom 4. Oktober 2013 E. 4.1). Aufgrund der Akten ergeben sich keinerlei Hinweise dafür, dass der Beschwerdeführer Umstellungs- und Anpassungsschwierigkeiten bei der beruflichen Neuori- entierung haben könnte. Allfällige Nachteile, die der Beschwerdeführer bei einem Wechsel von der (langjährigen) selbständigen in die unselbständige Erwerbstätigkeit auf dem ausgeglichenen Arbeitsmarkt antreffen könnte, wurden vorliegend bereits dadurch konsumiert, dass das Belastungsprofil nur noch leichte Tätigkeiten ohne zeitliche Einschränkungen zulässt (vgl. Urteil des BGer 9C_439/2018 E. 4.3.2). Die langjährige selbständige Er- werbstätigkeit hat die Vorinstanz im konkreten Fall des Beschwerdeführers – wenn überhaupt – in nachvollziehbarer Weise eher als Vorteil bewertet, da der Beschwerdeführer dadurch Kenntnisse im administrativen Bereich aufweist und aufgrund seines vielseitigen beruflichen Werdegangs in selbst- und unselbständigen Tätigkeiten für einen Arbeitgeber auf dem aus- geglichenen Arbeitsmarkt als Arbeitnehmer nicht an Attraktivität einbüsst. In diesem Zusammenhang ist daran zu erinnern, dass einzig der Verlust des Geschmacks- und Geruchssinns dazu geführt hat, dass der Beschwer- deführer seine angestammte Tätigkeit als Winemaker und Weinhändler nicht mehr ausüben kann. Insgesamt erscheint fraglich, ob und inwieweit eine selbständige Erwerbstätigkeit, in der eine geschäftsführende Person das Risiko eines allfälligen schlechten Geschäftsgangs jederzeit selber trägt, mit derjenigen einer viele Jahre im selben Unternehmen angestellten Person überhaupt vergleichbar ist, deren Betriebstreue in der Regel lohn- relevante Vorteile mit sich bringt. Jedenfalls bestimmt sich beispielsweise der Anfangslohn in einer neuen Firma in der Regel nicht isoliert nach der Anzahl Dienstjahre, sondern unter anderem auch aufgrund der mitge- brachten Berufserfahrungen (vgl. Urteil des EVG I 415/01 vom 26. Novem- ber 2002 E. 4.2.1). Zudem nimmt die Bedeutung der Anzahl Dienstjahre im privaten Sektor ab, je niedriger das Anforderungsprofil ist (Urteil des BGer 9C_386/2012 vom 18. September 2012 E. 5.2 mit Hinweis auf AHI 1999 177 E. 3b S. 181), weshalb mit Blick auf das der vorinstanzlichen Invalidi- tätsberechnung zugrundeliegende Anforderungsniveau 2 die lange Be- triebszugehörigkeit keinen Abzug zu rechtfertigen vermag. Inwiefern der Beschwerdeführer seine (Rest-)Arbeitsfähigkeit auf dem allgemeinen Ar- beitsmarkt nur mit unterdurchschnittlichem Erfolg verwerten kann, ist nicht ersichtlich.</w:t>
      </w:r>
    </w:p>
    <w:p>
      <w:r>
        <w:rPr>
          <w:b/>
        </w:rPr>
        <w:t>E. 6.3.3</w:t>
      </w:r>
    </w:p>
    <w:p>
      <w:r>
        <w:t>Selbst bei einer gesamthaften Betrachtung der Faktoren "Lebensal- ter" und "Dienstjahre/Betriebszugehörigkeit" ist festzuhalten, dass sich</w:t>
      </w:r>
    </w:p>
    <w:p>
      <w:r>
        <w:t>C-448/2021 Seite 15 nach bundesgerichtlicher Rechtsprechung das Alter bei Männern im Alters- segment von 50 bis 64/65 gemäss den LSE-Erhebungen bei Stellen ohne Kaderfunktion sogar eher lohnerhöhend auswirkt (rund 9 % gemäss LSE 2018, Tabelle TA9, Median) und dass das Bundesgericht offen gelas- sen hat, ob dies auch für jene Versicherten gilt, die sich in fortgeschrittenem Alter beruflich neu zu orientieren haben. Dies mit dem Hinweis, es lasse sich jedenfalls mit den verfügbaren statistischen Angaben nicht untermau- ern, dass diese Kategorie unter Berücksichtigung ihrer kurzen Aktivitäts- dauer bis zur Pensionierung nicht mit einem durchschnittlichen Einkom- men rechnen könnte beziehungsweise bedeutsame Einbussen in Kauf zu nehmen hätte (Urteil des BGer 8C_151/2020 E. 6.3.3; vgl. zum Ganzen auch BGE 146 V 16 E. 7.2.1 m.w.H.).</w:t>
      </w:r>
    </w:p>
    <w:p>
      <w:r>
        <w:rPr>
          <w:b/>
        </w:rPr>
        <w:t>E. 6.3.4</w:t>
      </w:r>
    </w:p>
    <w:p>
      <w:r>
        <w:t>Zusammenfassend sind die von der Vorinstanz bei der Bemessung des Abzugs berücksichtigten Kriterien und deren Höhe nicht zu beanstan- den. Die Vorinstanz hat die Bemessungsgrundlagen einer zweimaligen Prüfung unterzogen und kam zum Schluss, dass es bei einem Tabellen- lohnabzug von 5% sein Bewenden hat (IV-act. 96 und 109). Insgesamt ist hier bei der Frage nach den berücksichtigten Abzugsgründen wie auch bei der konkreten Abzugshöhe von 5% weder eine Unterschreitung noch ein Missbrauch bei der Ermessensausübung der Vorinstanz zu erblicken, wes- halb der von der Vorinstanz ermittelte Invaliditätsgrad von 69% und der darauf gründende Anspruch auf eine Dreiviertelsrente zu bestätigen sind (BGE 148 V 174 E. 6.5 und 9.2.2 unten; 146 V 16 E. 4.2; 143 V 295 E. 2.4; Urteil des BGer 9C_444/2018 vom 17. Oktober 2018 E. 1.2, je mit Hinwei- sen).</w:t>
      </w:r>
    </w:p>
    <w:p>
      <w:r>
        <w:rPr>
          <w:b/>
        </w:rPr>
        <w:t>E. 7.1</w:t>
      </w:r>
    </w:p>
    <w:p>
      <w:r>
        <w:t>Das Beschwerdeverfahren bei Streitigkeiten um die Bewilligung oder die Verweigerung von IV-Leistungen vor dem Bundesverwaltungsgericht ist kostenpflichtig (Art. 69 Abs. 1bis i.V.m. Abs. 2 IVG). Entsprechend dem Aus- gang des Verfahrens hat der unterliegende Beschwerdeführer die Verfah- renskosten zu tragen (Art. 63 Abs. 1 VwVG). Diese sind auf Fr. 800.– fest- zusetzen. Der einbezahlte Kostenvorschuss ist zur Bezahlung der Verfah- renskosten zu verwenden.</w:t>
      </w:r>
    </w:p>
    <w:p>
      <w:r>
        <w:rPr>
          <w:b/>
        </w:rPr>
        <w:t>E. 7.2</w:t>
      </w:r>
    </w:p>
    <w:p>
      <w:r>
        <w:t>Dem unterliegenden Beschwerdeführer ist keine Parteientschädigung zuzusprechen (vgl. Art. 64 Abs. 1 VwVG; Art. 7 Abs. 1 des Reglements vom 21. Februar 2008 über die Kosten und Entschädigungen vor dem Bun- desverwaltungsgericht [VGKE, SR 173.320.2]). Die obsiegende Vorinstanz</w:t>
      </w:r>
    </w:p>
    <w:p>
      <w:r>
        <w:t>C-448/2021 Seite 16 hat ebenfalls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