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C-448/2010 vom 27. September 2010</w:t>
      </w:r>
    </w:p>
    <w:p>
      <w:r>
        <w:t>Bundesverwaltungsgericht, 2010-09-27, DE</w:t>
      </w:r>
    </w:p>
    <w:p>
      <w:r>
        <w:rPr>
          <w:b/>
        </w:rPr>
        <w:t xml:space="preserve">Quelle: </w:t>
      </w:r>
      <w:r>
        <w:t>https://mcp.opencaselaw.ch/entscheid/bvger_C-448_2010</w:t>
      </w:r>
    </w:p>
    <w:p>
      <w:r>
        <w:t>FR: TAF C-448/2010 du 27 septembre 2010</w:t>
      </w:r>
    </w:p>
    <w:p>
      <w:r>
        <w:t>IT: TAF C-448/2010 del 27 settembre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sogenannten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Die Beschwerdeführer rügen implizit eine mangelhafte Eröffnung der angefochtenen Verfügung. Diese sei zu Unrecht an den Beschwerdeführer adressiert worden, denn im Bewilligungsverfahren sei dessen Ehegattin, die Beschwerdeführerin, als einladende Person aufgetreten. Letzteres lässt sich anhand der Gesuchsakten nicht bestätigen. Dort sind vielmehr fast durchgehend beide Ehegatten gemeinsam aufgetreten. Ob die Vorinstanz mit ihrer Adressierung nur an den Beschwerdeführer einen Mangel bewirkt hat, kann offenbleiben. Denn zu Recht machen die (an gemeinsamer Adresse lebenden) Ehegatten nicht geltend, daraus irgend einen rechtlichen Nachteil erlitten zu haben.</w:t>
      </w:r>
    </w:p>
    <w:p>
      <w:r>
        <w:rPr>
          <w:b/>
        </w:rPr>
        <w:t>E. 4</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5.1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5.2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6</w:t>
      </w:r>
    </w:p>
    <w:p>
      <w:r>
        <w:t>In Anhang I zur Verordnung (EG) Nr. 539/2001 des Rates vom 15. März 2001 (ABl. L 81 vom 21.03.2001, S. 1-7), abgeändert durch die Verordnung (EG) Nr. 1244/2009 vom 30. November 2009 (ABl. L 336 vom 18.12.2009, S. 1-3), sind diejenigen Staaten aufgelistet, deren Staatsangehörige beim Überschreiten der Aussengrenzen der Schengen-Mitgliedstaaten im Besitze eines Visums sein müssen. Die Dominikanische Republik ist in diesem Anhang aufgeführt, weshalb die Gesuchstellerin der Visumspflicht unterliegt.</w:t>
      </w:r>
    </w:p>
    <w:p>
      <w:r>
        <w:rPr>
          <w:b/>
        </w:rPr>
        <w:t>E. 7.1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7.2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7.3.1</w:t>
      </w:r>
    </w:p>
    <w:p>
      <w:r>
        <w:t>In der Dominikanischen Republik konnte sich die Wirtschaft zwar nach einer durch den Zusammenbruch dreier grosser Geschäftsbanken im Jahre 2003 verursachten schweren Krise - dank der Konsolidierungspolitik des im August 2004 gewählten (und im Mai 2008 wiedergewählten) Staatspräsidenten und Regierungschefs Leonel Fernàndez Reyna - in beeindruckender Kürze erholen. Das Wachstum fand seinen Höhepunkt im Jahre 2006 mit 10,7% bei einer verhältnismässig niedrigen Inflationsrate von 5%. Beeinflusst von der sich abschwächenden Weltwirtschaft kühlte sich aber auch die dominikanische Wirtschaft seitdem leicht ab. Die internationale Finanz- und Wirtschaftskrise traf das Land letztlich härter als ursprünglich erhofft. Die Regierung musste daher Ende 2009 mit dem Weltwirtschaftsfond ein Standby-Abkommen mit einem Finanzvolumen von 1,7 Mrd. USD und einer Laufzeit von 28 Monaten abschliessen. Die wichtigsten Einkommenszweige sind der Tourismus, die Exportgewinne aus den Freihandelszonen sowie die Transferzahlungen von im Ausland (insbesondere in den USA und in Europa) lebenden Dominikanern (Quelle: www.auswärtiges-amt.de&gt;Länder, Reisen und Sicherheit&gt;Dominikanische Republik&gt;Wirtschaft, Stand Februar 2010, besucht am 6. September 2010). Insgesamt wächst die Kritik der Bevölkerung, da das beschriebene Wachstum nicht ausreicht, um neue Arbeitsplätze zu schaffen bzw. keine spürbare Verbesserung in den Lebensbedingungen der bedürftigen Schichten gebracht hat. Die Regierung hat zwar mittlerweile mit verschiedenen Massnahmen auf diese Kritik reagiert; dennoch ist eine Entlastung auf dem Arbeitsmarkt mittelfristig nicht zu erwarten (zur Lageanalyse vgl. auch Urteil des Bundesverwaltungsgerichts C-1330/2009 vom16. Juli 2009 E. 7.3).</w:t>
      </w:r>
    </w:p>
    <w:p>
      <w:r>
        <w:rPr>
          <w:b/>
        </w:rPr>
        <w:t>E. 7.3.2</w:t>
      </w:r>
    </w:p>
    <w:p>
      <w:r>
        <w:t>Die beschriebenen Verhältnisse machen deutlich, weshalb viele - insbesondere jüngere Menschen - versuchen, ins Ausland zu gelangen, um sich unter günstigeren Lebensbedingungen eine bessere Existenz zu sichern. Dabei gilt unter anderem West- und Mitteleuropa und somit auch die Schweiz als Wunschdestination. Der Trend zur Auswanderung zeigt sich erfahrungsgemäss dort besonders stark, wo durch die Anwesenheit von Verwandten oder Freunden bereits ein minimales Beziehungsnetz im Ausland besteht. Im Fall der Schweiz führt dies angesichts der restriktiven Zulassungsregelung nicht selten zur Umgehung ausländerrechtlicher Bestimmungen.</w:t>
      </w:r>
    </w:p>
    <w:p>
      <w:r>
        <w:rPr>
          <w:b/>
        </w:rPr>
        <w:t>E. 7.4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8.1</w:t>
      </w:r>
    </w:p>
    <w:p>
      <w:r>
        <w:t>Bei der Gesuchstellerin handelt es sich um eine gut 30-jährige, unverheiratete Frau, Mutter zweier Kinder. Darüber hinaus ist über ihre persönlichen und familiären Verhältnisse nur bekannt, dass eine Schwester in der Schweiz und weitere Familienangehörige vor Ort leben. An der Absicht der Beteiligten, die Gesuchstellerin als Taufpatin einzusetzen und an den Festlichkeiten in der Schweiz teilnehmen zu lassen, braucht nicht gezweifelt zu werden. Das schliesst allerdings weitergehende Absichten nicht aus. Als Mutter zweier Kinder dürfte die Gesuchstellerin auch durchaus eine gewisse familiäre Verantwortung tragen. Diese ist aber insofern zu relativieren, als sie ursprünglich ohne zwingenden Grund gleich für volle drei Monate in die Schweiz reisen wollte. Die Betreuung der Kinder wäre daher offenbar auch dann sicherzustellen, wenn sie sich für längere Zeit im Ausland aufhalten würde. Ganz allgemein kann der Umstand, dass ein Gast nahe Familienangehörige im Heimatland zurück lässt, für sich allein die Prognose einer fristgerechten und anstandslosen Wiederausreise nicht begünstigen. Wesentliche Bedeutung kommt hier den wirtschaftlichen Verhältnissen zu, in denen sich die Betroffenen befinden. Denn der Wille zur Emigration ist häufig auch mit der Hoffnung verbunden, zurückbleibende Familienangehörige aus dem Ausland effizienter unterstützen bzw. später nachziehen zu können.</w:t>
      </w:r>
    </w:p>
    <w:p>
      <w:r>
        <w:rPr>
          <w:b/>
        </w:rPr>
        <w:t>E. 8.2</w:t>
      </w:r>
    </w:p>
    <w:p>
      <w:r>
        <w:t>Die Gesuchstellerin ist erwerbstätig. Gemäss der im Gesuchsverfahren eingereichten Bestätigung des Arbeitgebers arbeitet sie seit 1. Dezember 2008 in einer Fleischvertriebsfirma und verdient pro Monat DOP 12'500 (umgerechnet rund CHF 343). Nach Darstellung der Beschwerdeführer in ihrer schriftlichen Stellungnahme gegenüber dem Amt für Migration des Kantons Basel-Landschaft soll sie nach ihrem Besuchsaufenthalt ihre Arbeit wieder aufnehmen können. Die von der Gesuchstellerin damals beabsichtigte dreimonatige Landesabwesenheit dürfte aber mit den Verpflichtungen aus dem Arbeitsverhältnis kaum zu vereinbaren sein. Denn der landesübliche Ferienanspruch beträgt nach den Erkenntnissen des Bundesverwaltungsgerichts nur einen Bruchteil davon. Die Vermutung liegt deshalb nahe, dass die Gesuchstellerin im Falle einer Erteilung des gewünschten Visums den Verlust ihrer Arbeitsstelle in Kauf genommen hätte. Dass sich inzwischen an ihrer Einstellung ihrem Arbeitsverhältnis gegenüber etwas geändert haben könnte, lässt sich den Akten nicht entnehmen. Die Beschwerdeführer würden sich zwar gemäss ihren Ausführungen in der Replik mit einer einmonatigen Besuchsdauer der Gesuchstellerin begnügen, dies im Sinne eines Kompromisses, damit die Gesuchstellerin zumindest an der Taufe ihres Patenkindes teilnehmen könnte. Ob dies auch den Vorstellungen der Gesuchstellerin entspricht, ist allerdings nicht bekannt. Insgesamt kann vorliegend nicht von gefestigten beruflichen und damit von wirtschaftlichen Verhältnissen ausgegangen werden, die nachhaltig von einer allfälligen Emigration abzuhalten vermöchten.</w:t>
      </w:r>
    </w:p>
    <w:p>
      <w:r>
        <w:rPr>
          <w:b/>
        </w:rPr>
        <w:t>E. 8.3</w:t>
      </w:r>
    </w:p>
    <w:p>
      <w:r>
        <w:t>Vor dem aufgezeigten persönlichen und allgemeinen Hintergrund durfte die Vorinstanz demnach davon ausgehen, dass keine hinreichende Gewähr für eine fristgerechte und anstandslose Wiederausreise der Gesuchstellerin nach einem Besuchsaufenthalt besteht. An dieser Beurteilung vermögen die Zusicherungen der Beschwerdeführer nichts zu ändern. Als Gastgeber können sie lediglich für gewisse finanzielle Risiken im Zusammenhang mit dem Besuchsaufenthalt garantieren. Weitergehende Zusicherungen sind rechtlich nicht verbindlich und faktisch auf nicht durchsetzbar (BVGE 2009/27 E. 9). Schliesslich kann auch die von der Gesuchstellerin selbst abgegebene, notariell bestätigte Erklärung nichts an der Risikobeurteilung ändern. Es versteht sich von selbst, dass es sich bei einer solchen Erklärung um eine blosse Absichtserklärung handelt, die in der Schweiz keine rechtlichen Wirkungen entfalten kann. Strafbar würde sie sich entgegen der Auffassung der Beschwerdeführer nicht damit machen, dass sie eine solche Erklärung missachtet, sondern höchstens damit, dass sie - einmal in der Schweiz - allenfalls ausländerrechtliche Vorschriften verletzen würde.</w:t>
      </w:r>
    </w:p>
    <w:p>
      <w:r>
        <w:rPr>
          <w:b/>
        </w:rPr>
        <w:t>E. 8.4</w:t>
      </w:r>
    </w:p>
    <w:p>
      <w:r>
        <w:t>Hat die Vorinstanz somit zu Recht einen Hinderungsgrund in Form fehlender Gewähr für eine fristgerechte Wiederausreise nach dem beantragten Besuchsaufenthalt angenommen, so erübrigt sich zu prüfen, ob sie in der angefochtenen Verfügung auch vom zusätzlichen Hinderungsgrund ungenügender finanzieller Garantiefähigkeit ausgehen durfte. Dies umso mehr, als die Vorinstanz selbst im Verlaufe des Verfahrens nicht mehr daran festhielt.</w:t>
      </w:r>
    </w:p>
    <w:p>
      <w:r>
        <w:rPr>
          <w:b/>
        </w:rPr>
        <w:t>E. 9</w:t>
      </w:r>
    </w:p>
    <w:p>
      <w:r>
        <w:t>Aus vorstehenden Erwägungen folgt, dass die angefochtene Verfügung im Lichte von Art. 49 VwVG nicht zu beanstanden ist. Die Beschwerde ist daher abzuweisen.</w:t>
      </w:r>
    </w:p>
    <w:p>
      <w:r>
        <w:rPr>
          <w:b/>
        </w:rPr>
        <w:t>E. 10</w:t>
      </w:r>
    </w:p>
    <w:p>
      <w:r>
        <w:t>Entsprechend dem Ausgang des Verfahrens werden die unterliegenden Beschwerdeführer kostenpflichtig (Art. 63 Abs. 1 VwVG, Art. 1, 2 und 3 Bst. b des Reglements vom 21. Februar 2008 über die Kosten und Entschädigungen vor dem Bundesverwaltungsgericht [SR 173.320.2]). Dispositiv S.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