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C-4486/2015 vom 26. Oktober 2015</w:t>
      </w:r>
    </w:p>
    <w:p>
      <w:r>
        <w:t>Bundesverwaltungsgericht, 2015-10-26, FR</w:t>
      </w:r>
    </w:p>
    <w:p>
      <w:r>
        <w:rPr>
          <w:b/>
        </w:rPr>
        <w:t xml:space="preserve">Quelle: </w:t>
      </w:r>
      <w:r>
        <w:t>https://mcp.opencaselaw.ch/entscheid/bvger_C-4486_2015</w:t>
      </w:r>
    </w:p>
    <w:p>
      <w:r>
        <w:t>FR: TAF C-4486/2015 du 26 octobre 2015</w:t>
      </w:r>
    </w:p>
    <w:p>
      <w:r>
        <w:t>IT: TAF C-4486/2015 del 26 ottobre 2015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et B._______ ont qualité pour recourir, étant donné qu'ils ont participé à la procédure devant l'instance inférieure, qu'ils sont spécialement atteints par la décision querellée et ont un intérêt digne de protection à son annulation, leur souhait de pouvoir accueillir C._______ en Suisse demeurant actuel.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Cameroun, C._______ est soumise à l'obligation du visa.</w:t>
      </w:r>
    </w:p>
    <w:p>
      <w:r>
        <w:rPr>
          <w:b/>
        </w:rPr>
        <w:t>E. 5</w:t>
      </w:r>
    </w:p>
    <w:p>
      <w:r>
        <w:t>Dans la décision querellée, l'instance inférieure a refusé d'autoriser l'entrée en Suisse de C._______,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au Cameroun, on ne saurait de prime abord écarter les craintes de l'autorité intimée de voir l'intéressée prolonger son séjour en Suisse ou dans l'Espace Schengen au-delà de la date d'échéance du visa sollicité. A ce propos, il convient notamment de prendre en considération la qualité de vie et les conditions économiques et sociales difficiles que connaît l'ensemble de la population du Cameroun. S'agissant de la situation économique, le Tribunal constate que le produit intérieur brut (PIB) par habitant en 2014 s'élevait à environ USD 1'405 pour le Cameroun selon les estimations du Fonds monétaire international et à environ USD 87'475 pour la Suisse (voir le site internet du Fonds monétaire international: www.imf.org &gt; Data &gt; World Economic Outlook Databases (WEO) &gt; World Economic Outlook Databases April 2015 &gt; By Countries (country-level data) &gt; All countries, consulté en octobre 2015). En outre, le Tribunal observe que si le pays a certes renoué avec la croissance, il convient toutefois également de relever que 39% de la population vit encore sous le seuil de pauvreté (voir le site internet du Ministère allemand des Affaires étrangères : http://www.auswaertiges-amt.de, Reise und Sicherheit &gt; Reise- und Sicherheitshinweise : Länder A-Z &gt; Kamerun &gt; Wirtschaft, état: juin 2015, consulté en octobre 2015). En outre, l'indice de développement humain (IDH) 2014, qui prend en compte la santé, l'éducation et le niveau de vie, classe le Cameroun en 152e position sur 187 pays, et la Suisse en 3e position pour la même année (voir le site internet des rapports sur le développement humain du Programme des Nations Unies pour le développement [HDR UNDP]: http//hdr.undp.org &gt; Human development index 2014, consulté en octobre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de la fille, du beau-fils et des petits-enfants de l'intéressée.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A ce propos, le Tribunal constate que C._______, qui est veuve, dispose certes d'un réseau familial non négligeable au Cameroun (où résident notamment son frère ainsi que ses petits-enfants [cf. le mémoire de recours du 20 juillet 2015]). Ces attaches ne sont cependant pas à ce point déterminantes qu'elles sauraient permettre au Tribunal, à elles seules, de considérer le départ de l'intéressée de Suisse comme garanti. A ce sujet, le Tribunal observe notamment que l'intéressée peut envisager de quitter son pays d'origine durant trois mois et ne dispose ainsi vraisemblablement pas de responsabilités familiales (telles que des enfants en bas âge ou des membres de famille qui sont atteints dans leur santé dont elle devrait assurer la prise en charge) susceptibles de la dissuader de prolonger son séjour en Suisse. En outre, il ne faut pas perdre de vue que la prénommée dispose également d'attaches familiales importantes en Suisse, dès lors que sa fille et la famille de celle-ci résident sur le sol helvétique.</w:t>
      </w:r>
    </w:p>
    <w:p>
      <w:r>
        <w:rPr>
          <w:b/>
        </w:rPr>
        <w:t>E. 6.2</w:t>
      </w:r>
    </w:p>
    <w:p>
      <w:r>
        <w:t>Sur un autre plan, il apparaît que l'intéressée bénéficie d'une situation financière confortable au Cameroun, puisqu'elle est propriétaire de sa maison, ainsi que de plantations de cacao qui lui procurent un revenu régulier. Cela étant, aucun élément du dossier ne permet de considérer que l'intéressée dispose de responsabilités professionnelles importantes au Cameroun ou que sa situation matérielle se trouverait péjorée si elle prenait la décision de demeurer sur le territoire suisse à l'expiration de son visa.</w:t>
      </w:r>
    </w:p>
    <w:p>
      <w:r>
        <w:rPr>
          <w:b/>
        </w:rPr>
        <w:t>E. 6.3</w:t>
      </w:r>
    </w:p>
    <w:p>
      <w:r>
        <w:t>Par ailleurs, le Tribunal ne saurait faire abstraction de l'âge avancé de C._______ (80 ans). L'intéressée se trouve en effet dans une tranche d'âge où des complications médicales peuvent survenir rapidement, de manière imprévisible et nécessiter des soins importants. Or, en présence d'une personne âgée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Tribunal administratif fédéral C-6651/2014 du 17 juillet 2015 consid. 6.2).</w:t>
      </w:r>
    </w:p>
    <w:p>
      <w:r>
        <w:rPr>
          <w:b/>
        </w:rPr>
        <w:t>E. 6.4</w:t>
      </w:r>
    </w:p>
    <w:p>
      <w:r>
        <w:t>Dans ces circonstances et compte tenu du fait que les autres arguments avancés par les intéressés, tels que leur disposition à réduire la durée du visa sollicité, ne permettent pas non plus au Tribunal de qualifier le départ de C._______ de Suisse de suffisamment garanti, on ne saurait reprocher à l'autorité intimée d'avoir considéré qu'il ne pouvait pas être exclu qu'une fois dans l'Espace Schengen, l'intéressée souhaite y prolonger sa présence, dans l'espoir d'y trouver des conditions d'existence meilleures que celles qu'elle connaît dans sa patrie.</w:t>
      </w:r>
    </w:p>
    <w:p>
      <w:r>
        <w:rPr>
          <w:b/>
        </w:rPr>
        <w:t>E. 6.5</w:t>
      </w:r>
    </w:p>
    <w:p>
      <w:r>
        <w:t>En outre, dans le cas particulier, cette appréciation ne saurait être modifiée par le fait que l'intéressée a respecté les termes du visa qu'elle a obtenu de la part des autorités suisses en 2007. A ce propos, il importe en effet de rappeler que chaque demande fait l'objet d'un examen individuel et actualisé (cf. l'arrêt du Tribunal administratif fédéral C-2965/2014 du 26 février 2015 consid. 6.2 et jurisprudence citée). A cet égard, le Tribunal constate que la situation personnelle de l'intéressée a subi une évolution en ce sens qu'elle n'avait que soixante-douze ans lors de son précédant séjour en Suisse, alors qu'elle est âgée de quatre-vingt ans aujourd'hui. Aussi, comme relevé plus haut, on ne saurait exclure que l'intéressée, précisément en raison de son âge actuel ou de la présence de membres de sa famille en Suisse, puisse être tentée de poursuivre son séjour sur le sol helvétique au-delà de la durée de validité de son visa, comme le fait remarquer à juste titre l'autorité de première instance dans la décision attaquée. Pareille crainte ne saurait simplement être écartée, dans le cas d'espèce, par le fait que les recourants ont relevé le bon état de santé de la requérante. Cette affirmation n'a au demeurant été étayée par aucun moyen de preuve probant.</w:t>
      </w:r>
    </w:p>
    <w:p>
      <w:r>
        <w:rPr>
          <w:b/>
        </w:rPr>
        <w:t>E. 6.6</w:t>
      </w:r>
    </w:p>
    <w:p>
      <w:r>
        <w:t>Tenant compte des éléments qui précèdent, le Tribunal ne saurait retenir que l'intéressée ne serait pas en mesure de prolonger son séjour sur le territoire helvétique à l'échéance de son visa, voire d'envisager une nouvelle existence dans ce pays et ne saurait dès lors reprocher à l'instance inférieure d'avoir confirmé le refus d'autorisation d'entrée dans l'Espace Schengen.</w:t>
      </w:r>
    </w:p>
    <w:p>
      <w:r>
        <w:rPr>
          <w:b/>
        </w:rPr>
        <w:t>E. 7</w:t>
      </w:r>
    </w:p>
    <w:p>
      <w:r>
        <w:t>Le Tribunal relève par ailleurs que le désir exprimé par l'intéressée, au demeurant parfaitement compréhensible, de rendre visite aux membres de sa famille résidant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4.4 ci-avant). Dans ce contexte, il convient de remarquer que le refus d'autorisation d'entrée prononcé à l'endroit de C._______ ne constitue pas une ingérence inadmissible dans l'exercice du droit au respect de la vie privée et familiale consacré par l'art. 8 CEDH. En effet, rien ne permet de penser, in casu, que l'intéressée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10</w:t>
      </w:r>
    </w:p>
    <w:p>
      <w:r>
        <w:t>Compte tenu des considérants exposés ci-dessus, le Tribunal estime qu'il ne saurait être reproché à l'instance inférieure d'avoir refusé la délivrance d'une autorisation d'entrée dans l'Espace Schengen en faveur de C._______. Il s'ensuit que, par sa décision du 16 juillet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