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C-4482/2011 vom 24. Juli 2012</w:t>
      </w:r>
    </w:p>
    <w:p>
      <w:r>
        <w:t>Bundesverwaltungsgericht, 2012-07-24, DE</w:t>
      </w:r>
    </w:p>
    <w:p>
      <w:r>
        <w:rPr>
          <w:b/>
        </w:rPr>
        <w:t xml:space="preserve">Quelle: </w:t>
      </w:r>
      <w:r>
        <w:t>https://mcp.opencaselaw.ch/entscheid/bvger_C-4482_2011</w:t>
      </w:r>
    </w:p>
    <w:p>
      <w:r>
        <w:t>FR: TAF C-4482/2011 du 24 juillet 2012</w:t>
      </w:r>
    </w:p>
    <w:p>
      <w:r>
        <w:t>IT: TAF C-4482/2011 del 24 luglio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(knapp) formgerecht eingereichte Beschwerde ist einzutreten (Art. 50 und Art. 52 VwVG), soweit es um das von der Vorinstanz verfügte Einreiseverbot geht. Bezüglich eines allfälligen Familiennachzugsgesuches wurden die Betroffenen wiederholt an die kantonale Migrationsbehörde verwiesen.</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AuG). Da vorliegend kein Einreiseverbot mit einer Dauer von mehr als fünf Jahren zur Diskussion steht, ändert sich für die Beschwerdeführerin im Ergebnis ohnehin nichts.</w:t>
      </w:r>
    </w:p>
    <w:p>
      <w:r>
        <w:rPr>
          <w:b/>
        </w:rPr>
        <w:t>E. 3.2</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daher Anlass für die Verhängung eines Einreiseverbots sein, wobei der Erlass einer solchen Massnahme, wie erwähnt, stets zum Schutz vor künftigen Störungen und nicht im Sinne einer Sanktion erfolgt (vgl. Botschaft, a.a.O., 3813).</w:t>
      </w:r>
    </w:p>
    <w:p>
      <w:r>
        <w:rPr>
          <w:b/>
        </w:rPr>
        <w:t>E. 3.3</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beispielsweise Urteil des Bundesverwaltungsgerichts C-2206/2010 vom 2. Dezember 2011 E. 4.3 mit Hinweis).</w:t>
      </w:r>
    </w:p>
    <w:p>
      <w:r>
        <w:rPr>
          <w:b/>
        </w:rPr>
        <w:t>E. 3.4</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 Ziff. 4 i.V.m. Art. 25 Abs. 1 Bst. a [ii] der Vor­ordnung [EG] Nr. 810/2009 des Europäi­schen Parlaments und des Rates vom 13. Juli 2009 über einen Visakodex der Gemeinschaft [Visakodex], Abl. L 243 vom 15. September 2009).</w:t>
      </w:r>
    </w:p>
    <w:p>
      <w:r>
        <w:rPr>
          <w:b/>
        </w:rPr>
        <w:t>E. 4.1</w:t>
      </w:r>
    </w:p>
    <w:p>
      <w:r>
        <w:t>Die Beschwerdeführerin hielt sich unbestrittenermassen rund ein Jahr (Juli 2010 bis Juli 2011) in der Schweiz auf, ohne diesen Aufenthalt in rechtlich relevanter Weise zu unterbrechen und ohne sich anzumelden bzw. ohne die dazu erforderliche Bewilligung einzuholen (Art. 12 AuG bzw. Art. 10 Abs. 2 AuG). Weil sie gemäss den kantonalen Akten (siehe den kantonalen Wegweisungsentscheid vom 20. Juli 2011) seinerzeit ohne gültige Reisepapiere eingereist ist, erstreckte sich die Zeitspanne der illegalen Anwesenheit in ihrem Falle auf rund ein Jahr. Dafür wurde sie auch strafrechtlich belangt. Der entsprechende Strafbefehl der Staatsanwaltschaft des Kantons Freiburg vom 6. September 2011 blieb unangefochten und erwuchs in Rechtskraft. Eine illegale Anwesenheit besagter Dauer ergäbe sich im Übrigen ebenfalls aus dem Umstand, dass die Beschwerdeführerin während dieser Zeit einer Erwerbstätigkeit nachging (siehe E. 4.2.1 - 4.2.4 hiernach), erweist sich ihr Aufenthalt in der Schweiz diesfalls doch ab dem Zeitpunkt der Arbeitsaufnahme als rechtswidrig (vgl. hierzu beispielsweise Urteil des Bundesverwaltungsgerichts C-534/2010 vom 24. November 2011 E. 5.3.1). Die Einreise der Beschwerdeführerin und der anschliessende Aufenthalt sind folglich als rechtswidrig im Sinne von Art. 115 Abs. 1 Bst. a und b AuG zu bezeichnen.</w:t>
      </w:r>
    </w:p>
    <w:p>
      <w:r>
        <w:rPr>
          <w:b/>
        </w:rPr>
        <w:t>E. 4.2</w:t>
      </w:r>
    </w:p>
    <w:p>
      <w:r>
        <w:t>Der Beschwerdeführerin wird in der angefochtenen Verfügung, wie erwähnt, sodann vorgeworfen, während ihres Aufenthalts hierzulande einer illegalen Erwerbstätigkeit nachgegangen zu sein.</w:t>
      </w:r>
    </w:p>
    <w:p>
      <w:r>
        <w:rPr>
          <w:b/>
        </w:rPr>
        <w:t>E. 4.2.1</w:t>
      </w:r>
    </w:p>
    <w:p>
      <w:r>
        <w:t>Anlässlich der polizeilichen Einvernahme vom 19. Juli 2011 sagte die Beschwerdeführerin aus, sie sei in die Schweiz gekommen, um sich um ihre Kinder zu kümmern. Ausserdem habe sie im Haushalt mitgeholfen ("Je fais un peu de ménage."). Der hier ansässige Ex-Gatte habe ihr hierfür ungefähr Fr. 50.- pro Monat entrichtet und ihre Reisekosten (zur Familie des Ex-Ehemannes nach Bern) finanziert.</w:t>
      </w:r>
    </w:p>
    <w:p>
      <w:r>
        <w:rPr>
          <w:b/>
        </w:rPr>
        <w:t>E. 4.2.2</w:t>
      </w:r>
    </w:p>
    <w:p>
      <w:r>
        <w:t>Ausländerinnen und Ausländer, die in der Schweiz eine Erwerbstätigkeit ausüben wollen, benötigen unabhängig von der Aufenthaltsdauer eine Bewilligung (Art. 11 Abs. 1 Satz 1 AuG). Als Erwerbstätigkeit gilt jede üblicherweise gegen Entgelt ausgeübte unselbständige oder selbständige Tätigkeit, selbst wenn sie unentgeltlich erfolgt (Art. 11 Abs. 2 AuG). Ohne Belang für die Qualifikation als (unselbständige) Erwerbstätigkeit ist unter anderem, ob die Beschäftigung nur stunden- oder tageweise oder vorübergehend ausgeübt wird (Art. 1a Abs. 1 VZAE).</w:t>
      </w:r>
    </w:p>
    <w:p>
      <w:r>
        <w:rPr>
          <w:b/>
        </w:rPr>
        <w:t>E. 4.2.3</w:t>
      </w:r>
    </w:p>
    <w:p>
      <w:r>
        <w:t>Arbeitsleistungen in Haushalt und/oder Familie gelten - unbesehen einer allfälligen Entlöhnung - zumindest dort als (bewilligungspflichtige) Erwerbstätigkeit, wo der Erwerbscharakter nicht durch eine besondere verwandtschaftliche und emotionale Nähe in den Hintergrund gedrängt wird (vgl. Verwaltungspraxis der Bundesbehörden [VPB] 63.37 E. 11). Eine Ausnahme von der Bewilligungspflicht solcher Arbeitsleistungen kommt mithin höchstens in Fällen in Betracht, in welchen sie durch nächste Verwandte vorgenommen werden, wenn die Betreuung just dadurch eine besondere Ausgestaltung erhält. Massgeblich ist also, ob die Arbeitsleistung gerade wegen der verwandtschaftlichen und emotionalen Nähe der betreuenden zur betreuten Person nicht durch diejenige einer Drittperson ersetzt werden könnte, ohne dass der besondere Charakter der Tätigkeit verloren ginge (zum Ganzen vgl. auch Urteil des Bundesverwaltungsgerichts C-7263/2008 vom 31. August 2010 E. 5.1.2 mit Hinweisen).</w:t>
      </w:r>
    </w:p>
    <w:p>
      <w:r>
        <w:rPr>
          <w:b/>
        </w:rPr>
        <w:t>E. 4.2.4</w:t>
      </w:r>
    </w:p>
    <w:p>
      <w:r>
        <w:t>In Anbetracht der behaupteten emotionalen Nähe zwischen der Beschwerdeführerin und ihren drei Kindern könnten ihre in ______/FR erbrachten Arbeitsleistungen auf den ersten Blick zwar noch als Gefälligkeiten durchgehen, die konkreten Umstände sprechen indessen für eine bewilligungspflichtige Erwerbstätigkeit. So sind die beiden älteren Kinder (D._______: damals 23-jährig, B._______: damals 20-jährig) volljährig und wohnen gar nicht mehr bei ihrem Vater. D._______ soll überhaupt nur noch wenig Kontakte zur Familie pflegen. Die im vorliegenden Beschwerdeverfahren als Vertreterin agierende B._______ wiederum ist verheiratet und nun in _____/SO ansässig. Einzig der jüngste Sohn E._______ (inzwischen 16-jährig) und ein nicht namentlich genannter Onkel sollen im Sommer 2011 am Domizil in ______/FR logiert haben (vgl. Einvernahmeprotokoll vom 19. Juli 2011). Entgegen dem Anschein hat die Beschwerdeführerin dort mit anderen Worten keine klassischen, nicht von Dritten erbringbare Betreuungsaufgaben wahrgenommen. Dank ihrer Hilfestellung im Haushalt sowie bei der Beaufsichtigung des jüngsten Kindes ermöglichte sie ihrem Ex-Ehemann stattdessen, seinen eigenen Geschäften nachzugehen oder ihm hierfür zumindest den Rücken freizuhalten. Überdies präsentiert sich das Verhältnis zwischen der Beschwerdeführerin und dem geschiedenen Gatten laut eigenen Angaben ziemlich angespannt, weshalb sie mehr in Bern bei den Ex-Schwiegereltern als in ______/FR übernachtet habe. Für ihre Dienste wurde sie denn, wenn auch in bescheidenem Umfange, entschädigt. Angesichts dessen kann kaum mehr von blossen, nicht bewilligungspflichtigen Mithilfen ausgegangen werden. Die von der Beschwerdeführerin vorgenommenen Arbeitsleistungen sind damit als Erwerbstätigkeit im Sinne von Art. 11 Abs. 2 AuG zu qualifizieren, für welche sie vorgängig eine Bewilligung hätte einholen müssen. Mit der Ausübung einer nicht bewilligten Erwerbstätigkeit hat sie folglich ebenfalls ausländerrechtlichen Bestimmungen (Art. 115 Abs. 1 Bst. c AuG) zuwidergehandelt.</w:t>
      </w:r>
    </w:p>
    <w:p>
      <w:r>
        <w:rPr>
          <w:b/>
        </w:rPr>
        <w:t>E. 4.3</w:t>
      </w:r>
    </w:p>
    <w:p>
      <w:r>
        <w:t>Zusammenfassend ist festzuhalten, dass die Beschwerdeführerin in mehrfacher Hinsicht gegen die öffentliche Sicherheit und Ordnung in der Schweiz verstossen und damit den Fernhaltegrund von Art. 67 Abs. 2 Bst. a AuG gesetzt hat. Die Verhängung der Fernhaltemassnahme erweist sich damit grundsätzlich als gerechtfertigt.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Haefelin/Georg Müller/Felix Uhlmann, Allgemeines Verwaltungsrecht, 6. vollständig überarbeitete Aufl., Zürich/St. Gallen 2010, Rz. 613 ff.).</w:t>
      </w:r>
    </w:p>
    <w:p>
      <w:r>
        <w:rPr>
          <w:b/>
        </w:rPr>
        <w:t>E. 5.2</w:t>
      </w:r>
    </w:p>
    <w:p>
      <w:r>
        <w:t>Das Fehlverhalten der Beschwerdeführerin wiegt objektiv nicht leicht (mehrfache Widerhandlungen gegen ausländerrechtliche Vorschriften, Dauer des rechtswidrigen Aufenthalts, Strafbefehl mit vergleichsweise hohem Strafmass). Es beinhaltet die Missachtung ausländerrechtlicher Normen, denen im Interesse einer funktionierenden Rechtsordnung eine zentrale Bedeutung zukommt. Das generalpräventiv motivierte Interesse, die ausländerrechtliche Ordnung durch eine konsequente Massnahmenpraxis gegenüber fehlbaren ausländischen Personen zu schützen, ist ganz allgemein als gewichtig zu betrachten. Aber auch was die subjektive Seite anbelangt, lässt sich das Verhalten der Beschwerdeführerin nicht bagatellisieren, ist doch aufgrund der gesamten Begleitumstände von einem bewussten Vorgehen auszugehen. Unter dem Aspekt der Spezialprävention erscheint es schliesslich ohne weiteres möglich, dass sie in Erwägung zieht, sobald wie möglich wieder in die Schweiz einzureisen und vorübergehend oder dauerhaft hier zu verweilen. Davon zeugen nur schon die seitens der Vertreterin geäusserten Absichten, für ihre Mutter ein Einreisevisum für einen zwei- oder dreimonatigen Besuchsaufenthalt bzw. einen Familiennachzug zu erwirken.</w:t>
      </w:r>
    </w:p>
    <w:p>
      <w:r>
        <w:rPr>
          <w:b/>
        </w:rPr>
        <w:t>E. 5.3</w:t>
      </w:r>
    </w:p>
    <w:p>
      <w:r>
        <w:t>Hinsichtlich der privaten Interessen lässt die Beschwerdeführerin auf Beschwerdeebene (in knapper Form) ausführen, dass ihre Kinder in der Schweiz lebten und sie im Kosovo niemanden habe.</w:t>
      </w:r>
    </w:p>
    <w:p>
      <w:r>
        <w:rPr>
          <w:b/>
        </w:rPr>
        <w:t>E. 5.3.1</w:t>
      </w:r>
    </w:p>
    <w:p>
      <w:r>
        <w:t>Allfällige Einschränkungen des Privat- bzw. Familienlebens der Beteiligten können vorliegend aufgrund sachlicher und funktioneller Unzuständigkeit des Bundesverwaltungsgerichts nicht Verfahrensgegenstand sein, soweit sie auf das Fehlen eines dauerhaften Anwesenheitsrechts in der Schweiz zurückzuführen sind (vgl. Urteile des Bundesverwaltungsgerichts C-1335/2009 vom 3. Juni 2010 E. 6.3.1 und C-4509/2009 vom 7. Januar 2010 E. 7.3 jeweils mit Hinweisen). Die Erteilung von Aufenthaltsbewilligungen fällt grundsätzlich in die Zuständigkeit der Kantone, wobei im Falle einer Bewilligungserteilung auch das bestehende Einreiseverbot aufzuheben wäre (vgl. Urteil des Bundesgerichts 2C_793/2008 vom 27. März 2009 E. 3.2 mit Hinweisen). Ein Familiennachzugsgesuch wurde bislang nicht gestellt. Die Pflege regelmässiger persönlicher Kontakte der Beschwerdeführerin zu ihren (zum Teil nun volljährigen) Kindern scheitert daher bereits am fehlenden Anwesenheitsrecht in der Schweiz. Somit stellt sich im vorliegenden Verfahren einzig die Frage, ob die über das fehlende Anwesenheitsrecht hinausgehende, durch das Einreiseverbot zusätzlich bewirkte Erschwernis vor Art. 8 der Konvention vom 4. November 1950 zum Schutze der Menschenrechte und Grundfreiheiten (EMRK, SR 0.101) standhält (vgl. Urteil des Bundesverwaltungsgerichts C-2954/2009 vom 7. November 2011 E. 6.3.1 mit Hinweis).</w:t>
      </w:r>
    </w:p>
    <w:p>
      <w:r>
        <w:rPr>
          <w:b/>
        </w:rPr>
        <w:t>E. 5.3.2</w:t>
      </w:r>
    </w:p>
    <w:p>
      <w:r>
        <w:t>Da die Beschwerdeführerin über kein Aufenthaltsrecht verfügt, könnte sie derzeit nur zu Besuchszwecken in die Schweiz kommen. Die Aufhebung des Einreiseverbots würde demnach lediglich dazu führen, dass sie den allgemeinen, für Staatsangehörige des Kosovo geltenden Einreisebestimmungen (insbesondere der Visumspflicht) unterstünde (vgl. Art. 4 Abs. 1 der Verordnung vom 22. Oktober 2008 über die Einreise und die Visumerteilung [VEV, SR 142.204] mit Verweisung auf die Verordnung [EG] Nr. 539/2001 des Rates vom 15. März 2001, die im Anhang I eine Liste von Drittländern enthält - darunter das Gebiet des Kosovo - deren Staatsangehörige für den Schengenraum visumspflichtig sind). Die Beschwerdeführerin könnte somit ohnehin nicht bewilligungsfrei in die Schweiz einreisen. Die Wirkungen des Einreiseverbots bestehen zudem nicht darin, ihr während dessen Geltungsdauer Besuchsaufenthalte bei ihren Angehörigen in der Schweiz schlichtweg zu untersagen. Es steht ihr vielmehr die Möglichkeit offen, aus wichtigen Gründen die zeitweilige Suspension der angeordneten Fernhaltemassnehme zu beantragen (vgl. Art. 67 Abs. 5 AuG). Den geltend gemachten privaten Interessen kann im dargelegten Rahmen Rechnung getragen werden. Der Kontakt zu den Kindern kann überdies mittels moderner Kommunikationsmittel und - da jene hierzulande aufenthaltsberechtigt sind - mittels Besuchen bei der Beschwerdeführerin im Kosovo aufrecht erhalten werden. Bloss am Rande sei ergänzt, dass Letztere in ihrer Heimat entgegen den Ausführungen in der Rechtsmitteleingabe nach wie vor nahe Verwandte hat (dem Einvernahmeprotokoll vom 19. Juli 2011 zufolge handelt es sich um einen Bruder und eine Schwester). Unter den momentanen Begebenheiten wird die Massnahmebelastete durch das Einreiseverbot in ihrer Lebensführung folglich nicht übermässig beeinträchtigt.</w:t>
      </w:r>
    </w:p>
    <w:p>
      <w:r>
        <w:rPr>
          <w:b/>
        </w:rPr>
        <w:t>E. 5.4</w:t>
      </w:r>
    </w:p>
    <w:p>
      <w:r>
        <w:t>Aufgrund einer wertenden Gewichtung der sich entgegenstehenden Interessen gelangt das Bundesverwaltungsgericht zum Schluss, dass die Anordnung des Einreiseverbots als solches nicht zu beanstanden ist und sich dessen Dauer von drei Jahren unter Berücksichtigung der Praxis in vergleichbaren Fällen als verhältnismässig und angemessen erweist.</w:t>
      </w:r>
    </w:p>
    <w:p>
      <w:r>
        <w:rPr>
          <w:b/>
        </w:rPr>
        <w:t>E. 6</w:t>
      </w:r>
    </w:p>
    <w:p>
      <w:r>
        <w:t>Aus diesen Erwägungen ergibt sich, dass die angefochtene Verfügung Bundesrecht nicht verletzt und den rechtserheblichen Sachverhalt richtig und vollständig feststellt; sie ist auch angemessen (Art. 49 VwVG). Die Beschwerde ist deshalb abzuweisen, soweit darauf einzutreten ist.</w:t>
      </w:r>
    </w:p>
    <w:p>
      <w:r>
        <w:rPr>
          <w:b/>
        </w:rPr>
        <w:t>E. 7</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