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C-4481/2015 vom 11. Februar 2016</w:t>
      </w:r>
    </w:p>
    <w:p>
      <w:r>
        <w:t>Bundesverwaltungsgericht, 2016-02-11, DE</w:t>
      </w:r>
    </w:p>
    <w:p>
      <w:r>
        <w:rPr>
          <w:b/>
        </w:rPr>
        <w:t xml:space="preserve">Quelle: </w:t>
      </w:r>
      <w:r>
        <w:t>https://mcp.opencaselaw.ch/entscheid/bvger_C-4481_2015</w:t>
      </w:r>
    </w:p>
    <w:p>
      <w:r>
        <w:t>FR: TAF C-4481/2015 du 11 février 2016</w:t>
      </w:r>
    </w:p>
    <w:p>
      <w:r>
        <w:t>IT: TAF C-4481/2015 del 11 febbraio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marokkanischen Staatsangehörigen um Erteilung eines Visums für einen 75-tägigen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marokkanische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Marokko ist grundsätzlich wirtschaftlich stabil, der langjährige Aufschwung hält an. Dennoch sind noch immer weite Bevölkerungsschichten von verhältnismässig schwierigen Verhältnissen betroffen. Ein zentrales Hindernis ist dabei das geringe Bildungsniveau: Offiziell gelten 30 Prozent der über 15-Jährigen als Analphabeten. Besonders Frauen und Mädchen in ländlichen Gebieten haben keinen ausreichenden Zugang zu Bildung. Das Königreich hat mit weiteren sozialen Problemen zu kämpfen, die durch Verstädterung und Industrialisierung entstehen. Die Kluft zwischen Arm und Reich ist gross. Die Arbeitslosigkeit lag 2014 bei fast 10 %, bei den 15- bis 24-Jährigen jedoch deutlich höher (die Angaben reichen von 20 % bis 50 %). Aufgrund dieser Umstände begeben sich viele Menschen auf der Suche nach besseren ökonomischen und/oder sozialen Bedingungen in die städtischen Zentren (z.B. Rabat, Casablanca oder Marrakesch) - wodurch sich dort die Probleme verschärfen - oder gar in Richtung Europa. Dass viele Menschen aus Marokko emigrieren, zeigt sich einerseits an den beträchtlichen Rücküberweisungen aus dem Ausland, die in den letzten Jahren jeweils rund 7 % zum Bruttoinlandprodukt beigetragen haben. Andererseits wirkt sich dieser Umstand auch auf die Schweizer Asylstatistik aus, in der Marokko seit geraumer Zeit zu den Hauptherkunftsländern gehört (Quellen: Staatssekretariat für Migration, www.sem.admin.ch &gt; Publikationen &amp; Service &gt; Asylstatistik &gt; Jahresstatistiken &gt; Kommentierte Asylstatistik 2015 &gt; Asylgesuche nach Nationen, S 12; Deutsches Auswärtiges Amt, www.auswaertiges-amt.de Reise &amp; Sicherheit Reise- und Sicherheitshinweise: Länder A Z Marokko Wirtschaft bzw. Innenpolitik, Stand: Dezember 2015 bzw. November 2015; Deutsches Bundesministerium für wirtschaftliche Zusammenarbeit und Entwicklung, www.bmz.de &gt; Zukunftscharta &gt; Länder &gt; Naher Osten und Nordafrika &gt; Marokko &gt; Informationen zum Land &gt; Wirtschaft, Stand Juli 2015, Zusammenarbeit/Informationen zum Land; Germany Trade &amp; Invest, www.gtai.de &gt; Trade Export &amp; Auslandsmärkte &gt; Länderauswahl &gt; Marokko &gt; Wirtschaftsdaten kompakt: Marokko, Stand November 2015, alle Websites besucht im Januar 2016; Beat Staufer, Glänzende Fassaden, wackliger Untergrund, NZZ vom 29. November 2013; vgl. auch Urteile des BVGer C-1499/2015 vom 30. Juli 2015 E. 5.3 sowie C-5062/2014 vom 3. Februar 2015 E. 5.3). Vor dem aufgezeigten wirtschaftlichen Hintergrund ist vor allem bei Teilen der jüngeren Bevölkerung ein starker Migrationsdruck festzustellen. Dabei gilt auch die Schweiz als Zielland vieler Auswanderer im erwerbsfähigen Alter, welche sich hier unter besseren Lebensbedingungen eine (neue) Existenz aufbauen möchten. Diese Tendenz zur Emigration wird erfahrungsgemäss dort noch begünstigt, wo durch die Anwesenheit von Verwandten oder Bekannten bereits ein minimales soziales Beziehungsnetz im Ausland besteht.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Bei der Risikoanalyse sind allerdings nicht nur solch allgemeine Umstände und Erfahrungen, sondern auch, wie oben ausgeführt,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(vgl. Urteil des BVGer C-2785/2012 vom 17. Juli 2013 E. 6.4).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Die mittlerweile fast 18-jährige, unverheiratete Gesuchstellerin lebt gemäss den Visumsakten in ihrem Heimatland in gemeinsamem Haushalt mit ihren Eltern. Irgendwelche Verantwortlichkeiten der Eingeladenen gegenüber ihren Familienangehörigen werden vom Beschwerdeführer hingegen nicht geltend gemacht. Anhaltspunkte für das Bestehen eines besonderen Betreuungsbedarfs von Angehörigen, der nur durch die Gesuchstellerin selbst abgedeckt werden könnte, sind denn auch aus den Akten nicht ersichtlich.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 Im Weitern gilt es den erst in der Replik vorgebrachten Hinweis des Beschwerdeführers, wonach die Eingeladene im Heimatland ihren "festen" Freund zurücklasse, zu relativieren, nachdem der Gastgeber im vorinstanzlichen Verfahren noch geltend gemacht hatte, die Gesuchstellerin sei aufgrund ihres jugendlichen Alters noch "in keiner Beziehung".</w:t>
      </w:r>
    </w:p>
    <w:p>
      <w:r>
        <w:rPr>
          <w:b/>
        </w:rPr>
        <w:t>E. 6.2</w:t>
      </w:r>
    </w:p>
    <w:p>
      <w:r>
        <w:t>Die Gesuchstellerin geht keiner Erwerbstätigkeit nach. Gemäss Darlegung des Beschwerdeführers soll sie noch die Schule besuchen und anschliessend eine Berufsausbildung in Angriff nehmen. Entsprechend lässt sich zum jetzigen Zeitpunkt nicht abschätzen, welche beruflichen und wirtschaftlichen Perspektiven die Eingeladene hat. Vor dem Hintergrund der aufgezeigten Verhältnisse vor Ort versteht sich von selbst, dass allein die Tatsache einer laufenden oder gar erst beabsichtigten Berufsausbildung nicht schon den Schluss auf intakte Zukunftsperspektiven im Heimatland und damit auf ein nicht vorhandenes Emigrationsrisiko zulässt.</w:t>
      </w:r>
    </w:p>
    <w:p>
      <w:r>
        <w:rPr>
          <w:b/>
        </w:rPr>
        <w:t>E. 6.3</w:t>
      </w:r>
    </w:p>
    <w:p>
      <w:r>
        <w:t>Umso mehr sind vorliegend die wirtschaftlichen Verhältnisse der nächsten Familienangehörigen der Gesuchstellerin - insbesondere ihrer Eltern, bei welchen sie noch lebt - in Marokko zu würdigen. Aus den Visumsakten ergibt sich, dass der 52-jährige Vater der Eingeladenen seit 2006 in einem Geschäft für Büromöbel, die gleichaltrige Mutter seit 2003 in einer Grosswäscherei angestellt ist. Gemäss den eingereichten Arbeitsbestätigungen soll Letztere ein monatliches Gehalt von 3000 marokkanischen Dirham (MAD), ihr Ehemann von 3343 MAD beziehen, was dem Gegenwert von ungefähr Fr. 310.- bzw. Fr. 350.- entspricht. Damit dürften die Eltern der Eingeladenen - was denn auch vom Beschwerdeführer grundsätzlich nicht bestritten wird - kaum in wirtschaftlich besonders günstigen und privilegierten Verhältnissen leben, die ihre Tochter verlässlich von einer Emigration abzuhalten vermöchten, zumal sämtliche mit dem Besuchsaufenthalt verbundene Kosten nicht von ihr respektive ihren Eltern, sondern vollumfänglich von den Gastgebern übernommen würden (vgl. Ziff. 33 des Einreisegesuchs). Vor diesem Hintergrund müssen die Beteuerungen auf Beschwerdeebene, wonach genügend Garantien für eine fristgerechte Wiederausreise vorhanden seien, als nicht ausschlaggebend bezeichnet werden. Dies umso weniger, als die von der Schweizer Vertretung sowie der Vorinstanz geäusserten Zweifel am Aufenthaltszweck, die vom Beschwerdeführer im Verlaufe des Verfahrens nicht ausgeräumt werden konnten, als durchaus begründet erscheinen.</w:t>
      </w:r>
    </w:p>
    <w:p>
      <w:r>
        <w:rPr>
          <w:b/>
        </w:rPr>
        <w:t>E. 6.4</w:t>
      </w:r>
    </w:p>
    <w:p>
      <w:r>
        <w:t>Vor dem dargelegten allgemeinen und persönlichen Hintergrund durfte die Vorinstanz demnach willkürfrei davon ausgehen, die Wiederausreise der Eingeladenen sei im Sinne der massgeblichen Bestimmungen nicht gesichert. An der Richtigkeit dieser Einschätzung ändert auch die Tatsache nichts, dass der Beschwerdeführer, der gemäss den eingereichten Unterlagen fraglos über einen guten Leumund verfügt, die in Art. 7 Abs. 1 VEV geregelte Verpflichtungserklärung abgegeben und damit sein Vertrauen in ein rechtskonformes Verhalten seines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in der Vergangenheit bereits mehrmals Gäste aus Marokko und Thailand zu sich in die Schweiz eingeladen haben, welche fristgerecht wieder in ihr Heimatland zurückgekehrt sind, lässt doch auch dieser Umstand keine Rückschlüsse auf ein zukünftiges Verhalten der Gesuchstellerin selbst zu (vgl. Urteil des BVGer C 6602/2013 vom 14. Mai 2014 E. 7). Zudem ist jedes Einreisegesuch nach Massgabe seiner spezifischen Gegebenheiten einzelfallweise zu beurteilen (vgl. Urteile des BVGer C-6790/2013 vom 13. Mai 2015 E. 6.4 m.H. sowie C-441/2015 vom 12. Mai 2015 E. 6.4.3). Der (durchaus verständliche) Wunsch des Beschwerdeführers und seiner marokkanischen Ehefrau, einer jüngeren Person aus dem weiteren Familienkreis ihr Lebensumfeld in der Schweiz zeigen zu können, hat demnach in den Hintergrund zu treten. Als Schweizerbürgern bzw. Niedergelassenen steht ihnen und ihren Kindern weiterhin die Möglichkeit offen, die Gesuchstellerin zu gegebener Zeit in deren Heimatland zu besuchen.</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