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C-447/2019 vom 18. Mai 2021</w:t>
      </w:r>
    </w:p>
    <w:p>
      <w:r>
        <w:t>Bundesverwaltungsgericht, 2021-05-18, DE</w:t>
      </w:r>
    </w:p>
    <w:p>
      <w:r>
        <w:rPr>
          <w:b/>
        </w:rPr>
        <w:t xml:space="preserve">Quelle: </w:t>
      </w:r>
      <w:r>
        <w:t>https://mcp.opencaselaw.ch/entscheid/bvger_C-447_2019</w:t>
      </w:r>
    </w:p>
    <w:p>
      <w:r>
        <w:t>FR: TAF C-447/2019 du 18 mai 2021</w:t>
      </w:r>
    </w:p>
    <w:p>
      <w:r>
        <w:t>IT: TAF C-447/2019 del 18 maggio 2021</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24. Januar 2019 gegen die als Verfügung im Sinn von Art. 5 Abs. 1 VwVG (SR 171.021) zu qualifizierende Anordnung der Vorinstanz vom 7. Dezember 2018 ergibt sich aus Art. 31, 32 und 33 Bst. d VGG (SR 173.32).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(BVGer-act. 5), ist auf die Beschwerde einzutreten.</w:t>
      </w:r>
    </w:p>
    <w:p>
      <w:r>
        <w:rPr>
          <w:b/>
        </w:rPr>
        <w:t>E. 2.1</w:t>
      </w:r>
    </w:p>
    <w:p>
      <w:r>
        <w:t>Ausgangspunkt und Anfechtungsobjekt der vorliegenden Streitigkeit bildet die Verfügung des BAG vom 7. Dezember 2018 (BAG-act. 1 sowie Beilage 2 zu BVGer-act. 1), mit welcher im Rahmen der Überprüfung der Aufnahmebedingungen alle drei Jahre der Publikumspreis (PP) des von der Beschwerdeführerin vertriebenen Arzneimittels B._______ per 1. Februar 2019 um 19.4660614 % gesenkt wurde.</w:t>
      </w:r>
    </w:p>
    <w:p>
      <w:r>
        <w:rPr>
          <w:b/>
        </w:rPr>
        <w:t>E. 2.2</w:t>
      </w:r>
    </w:p>
    <w:p>
      <w:r>
        <w:t>Der genaue Umfang des Streitgegenstandes bestimmt sich sodann durch den Anfechtungsgegenstand (die Verfügung) sowie durch die konkreten Beschwerdebegehren: Ficht die beschwerdeführende Person die Verfügung insgesamt an, sind Anfechtungsobjekt und Streitgegenstand deckungsgleich. Zielt die Beschwerde nur auf einzelne Teilaspekte der Verfügung, bilden nur diese den Streitgegenstand. Gegenstand des Beschwerdeverfahrens kann somit maximal sein, was Gegenstand des Verwaltungsverfahrens war oder nach richtiger Gesetzesauslegung hätte sein sollen (Müller/Bieri, in: Kommentar zum Bundesgesetz über das Verwaltungsverfahren [VwVG], 2019, Rz. 14 zu Art. 44).</w:t>
      </w:r>
    </w:p>
    <w:p>
      <w:r>
        <w:rPr>
          <w:b/>
        </w:rPr>
        <w:t>E. 2.3</w:t>
      </w:r>
    </w:p>
    <w:p>
      <w:r>
        <w:t>Nicht Gegenstand des vorliegenden Verfahrens bildet damit die Senkung des Preises auf das unbestrittene Preisniveau, welche die Beschwerdeführerin während des Beschwerdeverfahrens beantragte und welche von der Vorinstanz per 1. August 2019 umgesetzt wurde. Die Verfügung vom 7. Dezember 2019 wurde insoweit nur teilweise angefochten (vgl. BVGer-act. 1, Rz. 6).</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(&lt; www.bag.admin.ch &gt; Versicherungen &gt; Krankenversicherung &gt; Bezeichnung der Leistungen &gt; Antragsprozesse &gt; Antragsprozesse Arzneimittel, abgerufen am 03.03.2021,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mit Hinweisen).</w:t>
      </w:r>
    </w:p>
    <w:p>
      <w:r>
        <w:rPr>
          <w:b/>
        </w:rPr>
        <w:t>E. 3.5</w:t>
      </w:r>
    </w:p>
    <w:p>
      <w:r>
        <w:t>In zeitlicher Hinsicht sind grundsätzlich diejenigen materiell-rechtlichen Rechtssätze massgebend, die bei der Erfüllung des zu Rechtsfolgen führenden Sachverhalts Geltung haben (BGE 130 V 329 E. 2.3; 134 V 315 E. 1.2). Massgebend sind vorliegend die im Zeitpunkt der Verfügung, also am 7. Dezember 2018 geltenden materiellen Bestimmungen (vgl. Urteil des BVGer C-5912/2013 vom 30. April 2015 [nicht in BVGE 2015/51 publizierte] E. 2.3). Dazu gehören neben dem KVG (SR 832.10; in der ab 1. Januar 2018 gültigen Fassung), insbesondere die KVV (SR 832.102; in der ab 1. Januar 2018 gültigen Fassung) und die KLV (SR 832.112.31; in der ab 1. Oktober 2018 gültigen Fassung).</w:t>
      </w:r>
    </w:p>
    <w:p>
      <w:r>
        <w:rPr>
          <w:b/>
        </w:rPr>
        <w:t>E. 4</w:t>
      </w:r>
    </w:p>
    <w:p>
      <w:r>
        <w:t>Die Beschwerdeführerin rügt eine Verletzung ihres Anspruchs auf rechtliches Gehör (E. 5) und einen Verstoss gegen den Untersuchungsgrundsatz (E. 6) durch die Vorinstanz. Beide Rügen sind vorweg zu behandeln.</w:t>
      </w:r>
    </w:p>
    <w:p>
      <w:r>
        <w:rPr>
          <w:b/>
        </w:rPr>
        <w:t>E. 5.1</w:t>
      </w:r>
    </w:p>
    <w:p>
      <w:r>
        <w:t>Nach Art. 29 BV (SR 101) und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Der Grundsatz des rechtlichen Gehörs verlangt unter anderem, dass die Behörde die Vorbringen des vom Entscheid in seiner Rechtsstellung Betroffenen auch tatsächlich hört, prüft und in der Entscheidfindung berücksichtigt (vgl. Art. 32 Abs. 1 VwVG). Daraus folgt die Verpflichtung der Behörde, ihren Entscheid zu begründen (vgl. Art. 35 VwVG).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134 I 83 E. 4.1; 126 I 97 E. 2b). Der Anspruch auf rechtliches Gehör ist formeller bzw. selbständiger Natur, womit seine Verletzung ungeachtet der materiellen Begründetheit des Rechtsmittels zur Gutheissung der Beschwerde und zur Aufhebung des angefochtenen Entscheids führt (BGE 137 I 195 E. 2.2; 135 I 187 E. 2.2 mit Hinweisen; Waldmann/Bickel, in: Waldmann/Weissenberger [Hrsg.], Praxiskommentar Verwaltungsverfahrensgesetz, 2. Aufl. 2016, Rz. 28 f. zu Art. 29 [nachfolgend: Praxiskommentar VwVG]).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w:t>
      </w:r>
    </w:p>
    <w:p>
      <w:r>
        <w:rPr>
          <w:b/>
        </w:rPr>
        <w:t>E. 5.2.1</w:t>
      </w:r>
    </w:p>
    <w:p>
      <w:r>
        <w:t>Die Beschwerdeführerin sieht ihren Anspruch auf rechtliches Gehör dadurch verletzt an, dass die Aufnahmegesuche anderer Zulassungsinhaberinnen von der Beschwerdeführerin als (mögliche) Beweismittel bezeichnet worden seien. Somit habe sie - unter Vorbehalt der Einschränkungen von Art. 27 VwVG - einen Anspruch auf Einsicht in diese Unterlagen im Rahmen des Überprüfungsverfahrens gehabt. Dies sei ihr durch das BAG ohne Begründung verweigert worden, womit das rechtliche Gehör der Beschwerdeführerin verletzt worden sei (Art. 29 Abs. 2 BV). Die Frage des Patentschutzes sei für das vorliegende Verfahren zentral und die Beschwerdeführerin habe bereits bei der ersten Eingabe darauf hingewiesen (mit Verweis auf Beilage 10 zu BVGer-act. 1). Aus den Akten hätten sich allenfalls weitere Argumente für einen Ausschluss der strittigen TQV-Produkte ergeben können. Auch komme eine Heilung der Gehörsverletzung vor diesem Hintergrund und dem weiten Ermessen des BAG nicht in Frage, weshalb die Verfügung infolge Bundesrechtswidrigkeit aufzuheben sei (BVGer act. 1).</w:t>
      </w:r>
    </w:p>
    <w:p>
      <w:r>
        <w:rPr>
          <w:b/>
        </w:rPr>
        <w:t>E. 5.2.2</w:t>
      </w:r>
    </w:p>
    <w:p>
      <w:r>
        <w:t>Die Vorinstanz hat sich in ihrer Vernehmlassung nicht zur gerügten Gehörsverletzung geäussert. Sie stellte sich im Verwaltungsverfahren auf den Standpunkt, dass eine Einsicht in die Patentnummern und Neuaufnahmegesuche aller Vergleichsarzneimittel im Rahmen der dreijährlichen Überprüfung nicht möglich sei, sondern das Begehren um Akteneinsicht der Beschwerdeführerin als Gesuch um Einsicht in amtliche Dokumente gemäss dem Öffentlichkeitsgesetz zu behandeln (vgl. Beilage 32 zu BVGer-act. 1). Im Rahmen der dreijährlichen Überprüfung sei das rechtliche Gehör in jedem Fall gewahrt worden (Beilage 2, S. 6 zu BAG-act. 1 = Beilage 26 zu BVGer-act. 1)</w:t>
      </w:r>
    </w:p>
    <w:p>
      <w:r>
        <w:rPr>
          <w:b/>
        </w:rPr>
        <w:t>E. 5.3.1</w:t>
      </w:r>
    </w:p>
    <w:p>
      <w:r>
        <w:t>Nach ständiger Rechtsprechung bildet die Aktenführungspflicht von Verwaltung und Behörden das Gegenstück zum (aus Art. 29 Abs. 2 BV fliessenden) Akteneinsichts- und Beweisführungsrecht, indem die Wahrnehmung des Akteneinsichtsrechts durch die versicherte Person eine Aktenführungspflicht der Verwaltung voraussetzt (BGE 130 II 473 E. 4.1; 124 V 372 E. 3b; 124 V 389 E. 3a). Der verfassungsmässige Anspruch auf eine geordnete und übersichtliche Aktenführung verpflichtet die Behörden und Gerichte, die Vollständigkeit der im Verfahren eingebrachten und erstellten Akten sicherzustellen (SVR 2011 IV Nr. 44 [8C_319/2010] E. 2.2.1; Urteil des BGer 5A_341/2009 vom 30. Juni 2009 E. 5.2). Die in den Akten dokumentierte Information muss gewisse Qualitätskriterien erfüllen. Zu nennen sind namentlich Richtigkeit (die dokumentierte Information muss mit den zugrundeliegenden Tatsachen übereinstimmen), Vollständigkeit (alle relevanten Elemente müssen vorhanden und genügend detailliert festgehalten sein) sowie Klarheit beziehungsweise Nachvollziehbarkeit (es muss erkennbar sein, welche Information für das Handeln der Behörde ausschlaggebend waren und weshalb sowie wer die Akten erstellt hat). Sämtliche im Rahmen des Verfahrens vorgenommenen Erhebungen und entscheidrelevanten Tatsachen sind demnach vollständig festzuhalten (Urteil des BGer 8C_322/2010 vom 9. August 2010 E. 3 mit Hinweisen; BGE 130 II 473 E. 4.1 ff.; zum Ganzen vgl. Kölz/Häner/Bertschi, Verwaltungsverfahren und Verwaltungsrechtspflege des Bundes, 3. Aufl. 2013, Rz. 493 ff.; Brunner, in: Auer/Müller/Schindler [Hrsg.], VwVG. Kommentar zum Bundesgesetz über das Verwaltungsverfahren, 2. Aufl. 2019, Rz. 9 zu Art. 26, m.w.H. [nachfolgend: VwVG-Kommentar]). In die Akten gehören demnach alle schriftlichen Eingaben und Stellungnahmen sowie Protokolle über entscheidwesentliche Abklärungen, Zeugeneinvernahmen und Verhandlungen im Rechtsmittelverfahren (vgl. Waldmann/Oeschger, Praxiskommentar VwVG, Rz. 37 und 40 ff. zu Art. 26). Die Unterlagen sind von Beginn weg in chronologischer Reihenfolge abzulegen; bei Vorliegen eines Gesuchs um Akteneinsicht und spätestens im Zeitpunkt des Entscheids ist das Dossier zudem durchgehend zu paginieren. In der Regel ist auch ein Aktenverzeichnis zu erstellen, welches eine chronologische Auflistung sämtlicher in einem Verfahren gemachter Eingaben enthält (Urteil des BGer 2C_327/2010 vom 19. Mai 2011 E. 3.2 [nicht publiziert in BGE 137 I 247]; Urteil des BGer 8C_616/ 2013 vom 28. Januar 2014 E. 2.1).</w:t>
      </w:r>
    </w:p>
    <w:p>
      <w:r>
        <w:rPr>
          <w:b/>
        </w:rPr>
        <w:t>E. 5.3.2</w:t>
      </w:r>
    </w:p>
    <w:p>
      <w:r>
        <w:t>Die Vorinstanz hat als Vorakten die angefochtene Verfügung vom 7. Dezember 2018 nebst Beilagen (Beilage 1: Formular Anhang 9 zum APV [letzte Fassung], Beilage 2: Begründung zum TQV [Rückmeldungen 1-3 BAG inkl. Anhang 1 {TQV B._______}; Anhang 2 {TQV B._______, zweite Stellungnahme des BAG}; Anhang 3 {TQV B._______, dritte Stellungnahme des BAG}; Beilage 3: Resultat der Beurteilung der Wirtschaftlichkeit [undatiert]) sowie die Stellungnahme der Zulassungsinhaberin vom 1. Februar 2018 zum TQV (BAG-act. 2), diejenige vom 27. Juni 2018 (BAG-act. 3), vom 13. August 2018 (BAG-act. 4) sowie vom 26. September 2018 (BAG-act. 5) eingereicht.</w:t>
      </w:r>
    </w:p>
    <w:p>
      <w:r>
        <w:rPr>
          <w:b/>
        </w:rPr>
        <w:t>E. 5.3.3</w:t>
      </w:r>
    </w:p>
    <w:p>
      <w:r>
        <w:t>Aus den Vorakten ist ersichtlich, dass die Vorinstanz der Beschwerdeführerin im Rahmen ihrer zweiten Rückmeldung am 30. Juli 2018 mitteilte, «ein in der [...] ausgewiesener Experte» habe ihr bestätigt, «dass ein behandelnder Arzt einen Patienten anhand der empfohlenen Dosierungen (basierend auf der [...]) gemäss Fachinformation einstelle und keine Umrechnung basierend auf Wirkstoffbasen durchführe». Aus diesem Grund errechne sich ein leicht tieferes TQV-Niveau (vgl. Beilage 2 zu BAG-act. 1, S. 4). Weder eine entsprechende Anfrage des BAG, noch die vermeindliche Auskunft des «Experten» sind jedoch in den Akten der Vorinstanz zu finden.</w:t>
      </w:r>
    </w:p>
    <w:p>
      <w:r>
        <w:rPr>
          <w:b/>
        </w:rPr>
        <w:t>E. 5.3.4</w:t>
      </w:r>
    </w:p>
    <w:p>
      <w:r>
        <w:t>Hinsichtlich der vom BAG eingereichten Vorakten ist festzuhalten, dass sich das Voraktendossier offensichtlich als unvollständig und aufgrund der im Wesentlichen fehlenden Datierung der verschiedenen Dokumente im Hinblick auf die gerichtliche Nachvollziehbarkeit der Entscheidfindung im Verwaltungsverfahren (oben E. 5.3.1) als unklar erweist. Der Sachverhalt im Verwaltungsverfahren lässt sich zwar, da die Beschwerdeführerin weitere (in ihrem Aktenverzeichnis datierte) Akten zum Schriftenwechsel im Verwaltungsverfahren eingereicht hat, teilweise rekonstruieren (vgl. BVGer-act. 1, Beilagen 4-32). In der ungenügenden Aktenführung der Vorinstanz ist indes ein Verstoss gegen die Aktenführungspflicht und damit ein Teilaspekt einer Verletzung des rechtlichen Gehörs der Beschwerdeführerin zu erblicken. Die Vorinstanz wird daher angehalten, in künftigen Fällen sämtliche Akten chronologisch und vollständig zu führen und im Verwaltungs- und Beschwerdeverfahren stets eine systematische Paginierung vorzunehmen.</w:t>
      </w:r>
    </w:p>
    <w:p>
      <w:r>
        <w:rPr>
          <w:b/>
        </w:rPr>
        <w:t>E. 5.4.1</w:t>
      </w:r>
    </w:p>
    <w:p>
      <w:r>
        <w:t>Gemäss Art. 12 Bst. c und e VwVG stellt die Behörde den Sachverhalt von Amtes wegen fest und bedient sich nötigenfalls mit Auskünften oder Zeugnis von Drittpersonen sowie mit Gutachten von Sachverständigen.</w:t>
      </w:r>
    </w:p>
    <w:p>
      <w:r>
        <w:rPr>
          <w:b/>
        </w:rPr>
        <w:t>E. 5.4.2</w:t>
      </w:r>
    </w:p>
    <w:p>
      <w:r>
        <w:t>Für das Bundesverwaltungs- und -beschwerdeverfahren wird das Akteneinsichtsrecht durch Art. 26 bis Art. 28 VwVG konkretisiert. Die Garantien des VwVG entsprechen auch den verfassungsrechtlichen Minimalgarantien (vgl. Waldmann/Oeschger, a.a.O., Rz. 31 zu Art. 26). Gemäss Art. 26 Abs. 1 VwVG hat jede Partei oder ihr Vertreter Anspruch darauf, in ihrer Sache folgende Akten am Sitze der verfügenden oder einer durch diese zu bezeichnenden kantonalen Behörde einzusehen: a.) Eingaben von Parteien und Vernehmlassungen von Behörden; b.) alle als Beweis-mittel dienenden Aktenstücke; c.) Niederschriften von Verfügungen. Das Akteneinsichtsrecht, ist an die Parteistellung gebunden und wird insofern nur während hängigem Verfahren gewährt (betreffend die mit der Parteistellung verbundenen Pflichten und Rechte [insb. das Akteneinsichtsrecht gemäss Art. 26 ff. VwVG] vgl. BGE 139 II 279 E. 2.3; vgl. auch Urteil des BVGer C-5248/2017 vom 20. April 2018 E. 3.10 sowie Zwischenentscheid des BVGer C-8797/2007 vom 3. April 2008 E. 4; Waldmann/Oeschger, Praxiskommentar VwVG, Rz. 47 zu Art. 26; Kölz/Häner/Bertschi, a.a.O., Rz. 503).</w:t>
      </w:r>
    </w:p>
    <w:p>
      <w:r>
        <w:rPr>
          <w:b/>
        </w:rPr>
        <w:t>E. 5.4.3</w:t>
      </w:r>
    </w:p>
    <w:p>
      <w:r>
        <w:t>Art. 27 Abs. 1 VwVG nennt die Ausnahmen des Akteneinsichtsrechts. Das Geheimhaltungsinteresse und die Interessen der Parteien am Einsichtsrecht sind «sorgfältig gegeneinander abzuwägen». Wegleitend ist dabei allgemein das Verhältnismässigkeitsprinzip. Die Praxis geht davon aus, dass in jedem konkreten Fall eine Interessenabwägung vorzunehmen ist und nicht ganze Kategorien behördlicher Unterlagen von vornherein dem Einsichtsrecht entzogen werden können. Das Interesse der Partei an der Akteneinsicht ist umso höher zu gewichten, je direkter sie durch das Verfahren in ihren persönlichen Verhältnissen betroffen ist, beziehungsweise wenn der Verfahrensgegenstand schwerwiegende Eingriffe in Grundrechte betrifft, je stärker das Verfahrensergebnis von ihrer Stellungnahme abhängt, und je stärker auf ein Dokument zu ihrem Nachteil abgestellt wird (vgl. Kölz/Häner/Bertschi, a.a.O., Rz. 504 mit Hinweisen; Brunner, VwVG-Kommentar, Rz. 9 f. zu Art. 27). Das Akteneinsichtsrecht findet seine Grenzen an öffentlichen Interessen des Staates und berechtigten Geheimhaltungsinteressen Dritter.</w:t>
      </w:r>
    </w:p>
    <w:p>
      <w:r>
        <w:rPr>
          <w:b/>
        </w:rPr>
        <w:t>E. 5.4.4</w:t>
      </w:r>
    </w:p>
    <w:p>
      <w:r>
        <w:t>Mit Blick auf diese eingeholte Auskunft eines «Experten» (vgl. E. 5.3.3 hiervor) ist vorliegend festzuhalten, dass es sich dabei um eine Massnahme im Verwaltungsverfahren handelt (vgl. Art. 12 Bst. c respektive e VwvG). Da die Vorinstanz in ihrer Rückmeldung gegenüber der Beschwerdeführerin ausdrücklich auf diese Auskunft Bezug nimmt, kann es sich beim Einholen der Sachverständigenauskunft nicht mehr um eine interne Akte handeln, die vorgängig zum Verfahren der internen Meinungsbildung der Vorinstanz dienen sollte. Zudem führte diese «Expertenauskunft» zu einer anderen Berechnung des TQV in der vorliegend angefochtenen Verfügung, dies zu Ungunsten der Beschwerdeführerin. Damit kommt ihr massgeblichen Einfluss auf die behördliche Entscheidfindung zu. Es handelt sich demnach um ein entscheidwesentliches Dokument, das im Rahmen einer ordentlichen Aktenführung gemäss Art. 12 Bst. c respektive e VwVG schriftlich hätte protokolliert und dem Bundesverwaltungsgericht mit den vollständigen Vorakten eingereicht werden müssen (oben E. 5.3.4). Es unterstand damit auch grundsätzlich der Akteneinsicht unter Vorbehalt von Art. 27 Abs. 1 und 2 VwVG. Es ist demnnach zu prüfen, ob entgegenstehende Interessen ausnahmsweise eine Verweigerung der Akteneinsicht rechtfertigen.</w:t>
      </w:r>
    </w:p>
    <w:p>
      <w:r>
        <w:rPr>
          <w:b/>
        </w:rPr>
        <w:t>E. 5.4.5</w:t>
      </w:r>
    </w:p>
    <w:p>
      <w:r>
        <w:t>So werden Art. 27 Abs. 1 Bst. a VwVG jene Gründe zugeordnet, die in der Lehre unter dem Oberbegriff des «öffentlichen Interesses» an funktionsfähigen staatlichen Institutionen» zusammengefasst werden. So kann die Geheimhaltung der Identität von Sachverständigen allenfalls auch mit dem öffentlichen Interesse am Funktionieren der jeweiligen Verfahren begründet werden. Es geht darum, die zielkonforme Durchführung behördlicher Massnahmen zu gewährleisten, beziehungsweise um den Schutz der freien Meinungs- und Willensbildung der Behörden. Solche Beschränkungen lassen sich indessen nur dann anführen, wenn eine Offenlegung das Funktionieren der betroffenen Abläufe grundlegend gefährden würde. Diese Fälle sind vom blossen Interesse an einem ungestörten Gang der Verwaltung abzugrenzen, das für die Einschränkung der Akteneinsicht nicht genügt (vgl. Brunner, VwVG-Kommentar, Rz. 23 zu Art. 27; Kölz/Häner/Bertschi, a.a.O., Rz. 507 m. H.).</w:t>
      </w:r>
    </w:p>
    <w:p>
      <w:r>
        <w:rPr>
          <w:b/>
        </w:rPr>
        <w:t>E. 5.4.6</w:t>
      </w:r>
    </w:p>
    <w:p>
      <w:r>
        <w:t>Wesentliche private Interessen - von Gegenparteien oder von Dritten - können ebenfalls gegenüber dem Anspruch auf Akteneinsicht überwiegen (Art. 27 Abs. 1 Bst. b VwVG). Infrage kommt vor allem der Persönlichkeitsschutz. So haben Auskunftserteilende ein Interesse daran, dass ihre Identität nicht bekannt gegeben wird. Überwiegende private Interessen an der Geheimhaltung ihrer Identität kann unter Umständen für Sachverständige gelten (z.B. im Asylverfahren), wenn die Gefahr von Druck- und Retorsionsmassnahmen notorisch ist; offenzulegen ist jedoch, wie die betreffende Person ihre Sachkompetenz erworben hat (vgl. Urteil des BVGer E-5156/2007 vom 16. November 2007). Generell gilt, dass die Geheimhaltung der Identität von Sachverständigen problematisch ist, weil sie die Geltendmachung von Ausstandsgründen verunmöglicht und nur erfolgen sollte, wenn die Unabhängigkeit der Experten und Expertinnen aus besonderen Gründen gefährdet erscheint (vgl. Kölz/Häner/Bertschi, a.a.O., Rz. 509 f., m.H.; Brunner, VwVG-Kommentar, Rz. 28 ff. zu Art. 27; sowie zu Ablehnungseinwendungen wegen Ausstandsgründen, mangelnder Eignung oder Qualität des Sachverständigen: vgl. Auer/Binder, in: VwVG-Kommentar, Rz. 64 zu Art. 12).</w:t>
      </w:r>
    </w:p>
    <w:p>
      <w:r>
        <w:rPr>
          <w:b/>
        </w:rPr>
        <w:t>E. 5.4.7</w:t>
      </w:r>
    </w:p>
    <w:p>
      <w:r>
        <w:t>Das Bundesverwaltungsgericht erwog in seinem Urteil C-638/2018 vom 13. März 2020, dass in einem solchen Fall augenscheinlich kein Fall von massgeblicher Gefährdung der Sicherheit der Eidgenossenschaft vorliege und auch keine anderen schwerwiegenden Gründe ersichtlich seien, welche das öffentliche Interesse an funktionsfähigen staatlichen Institutionen im Sinne von Art. 27 Abs. 1 Bst. a VwVG gefährden könnten. Ebensowenig seien Gründe erkennbar, weshalb hier die Persönlichkeit des angefragten «Experten» nach Art. 27 Abs. 1 Bst. b VwVG geschützt werden müsste (oben E. 5.4.6).</w:t>
      </w:r>
    </w:p>
    <w:p>
      <w:r>
        <w:rPr>
          <w:b/>
        </w:rPr>
        <w:t>E. 5.4.8</w:t>
      </w:r>
    </w:p>
    <w:p>
      <w:r>
        <w:t>Im Hinblick auf die Fragen nach allfälligen Ausstandspflichten und der objektiven Eignung eines Sachverständigen für die Einholung einer Expertise (vgl. Art. 10 und 12 VwVG; Auer/Binder, in: VwVG-Kommentar, Rz. 64 zu Art. 12) ist festzustellen, dass die Identität des vom BAG angefragten «Experten» auch zu Handen des Bundesverwaltungsgerichts, das über die vollständige Kognition im vorliegenden Verfahren verfügt, nicht offengelegt wurde. Eine Überprüfung der Qualifikation des hier angefragten «Experten» ist demnach nicht möglich, ebenso ist auch die Prüfung seiner Unabhängigkeit und Eignung sowie allfällig bestehender Ausstandsgründe (auch im Hinblick auf eine allfällige Nähe zum BAG) für die Beantwortung der sich im vorliegenden Verfahren stellenden Frage nach rechtskonformer Vergleichbarkeit von C._______-haltigen Präparaten und solchen mit anderen Wirkstoffen in einem TQV ausgeschlossen.</w:t>
      </w:r>
    </w:p>
    <w:p>
      <w:r>
        <w:rPr>
          <w:b/>
        </w:rPr>
        <w:t>E. 5.5</w:t>
      </w:r>
    </w:p>
    <w:p>
      <w:r>
        <w:t>Zusammenfassend ergibt sich, dass die Vorinstanz ihre Aktenführungspflicht massgeblich verletzt hat, weshalb der Entscheidfindungsprozess im Verwaltungsverfahren für das Bundesverwaltungsgericht nur eingeschränkt nachvollziehbar ist (oben E. 5.3). Andererseits stützt die Vorinstanz sich auf eine für das Verfahren massgebliche Auskunft eines anonymen Sachverständigen, die weder zugeordnet werden kann noch einer Überprüfung hinsichtlich der Qualifikation des angefragten «Experten», seiner Unabhängigkeit und Eignung zugänglich ist. Unter diesen Umständen wurde der Beschwerdeführerin einerseits die Möglichkeit entzogen, Einsicht in die vollständigen Verfahrensakten zu nehmen, und sich andererseits zu den massgebenden Akten zu äussern (E. 5.4). Auch in Berücksichtigung dessen, dass im Bereich der dreijährlichen Preisüberprüfung jeweils in standardisierten Massenverfahren pro Jahr rund ein Drittel der Preise der zugelassenen Arzneimittel auf der SL überprüft werden, ist festzuhalten, dass rechtsstaatliche Minimalgarantien bei der Verfahrensführung zu beachten sind.</w:t>
      </w:r>
    </w:p>
    <w:p>
      <w:r>
        <w:rPr>
          <w:b/>
        </w:rPr>
        <w:t>E. 6</w:t>
      </w:r>
    </w:p>
    <w:p>
      <w:r>
        <w:t>Die Beschwerdeführerin macht des Weiteren einen Verstoss gegen den Untersuchungsgrundsatz geltend.</w:t>
      </w:r>
    </w:p>
    <w:p>
      <w:r>
        <w:rPr>
          <w:b/>
        </w:rPr>
        <w:t>E. 6.1</w:t>
      </w:r>
    </w:p>
    <w:p>
      <w:r>
        <w:t>In Verwaltungsverfahren des Bundes findet regelmässig der Untersuchungsgrundsatz Anwendung, wonach es in erster Linie Sache der Behörde und nicht der Parteien ist, den Sachverhalt festzustellen und dazu soweit nötig Beweise zu erheben. Entsprechend wird auch das erstinstanzliche dreijährliche Überprüfungsverfahren der Aufnahmebedingungen in die Spezialitätenliste vom Untersuchungsgrundsatz beherrscht (vgl. Art. 12 VwvG). Danach hat die Behörde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die Behörde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bzw. Beweisabnahme oder des Untersuchungsgrundsatzes (antizipierte Beweiswürdigung; BGE 136 I 229 E. 5.3 S. 236). Bleiben jedoch erhebliche Zweifel an Vollständigkeit und/oder Richtigkeit der bisher getroffenen Tatsachenfeststellung bestehen, ist weiter zu ermitteln, soweit von zusätzlichen Abklärungsmassnahmen noch neue wesentliche Erkenntnisse zu erwarten sind (Urteile des BGer 9C_296/2018 vom 14. Februar 2019 E. 4 und 8C_753/2018 4. Februar 2019 E. 7).</w:t>
      </w:r>
    </w:p>
    <w:p>
      <w:r>
        <w:rPr>
          <w:b/>
        </w:rPr>
        <w:t>E. 6.2</w:t>
      </w:r>
    </w:p>
    <w:p>
      <w:r>
        <w:t>Zur Verletzung des Untersuchungsgrundsatzes trägt die Beschwerdeführerin vor, dass das Patent ([...]; vgl. Beilage 10 zu BVGer-act. 1) es ermögliche, dass B._______ (...), was dazu führe, dass B._______ im Vergleich zu den bei der Aufnahme in der SL befindlichen Arzneimitteln einen therapeutischen Fortschritt darstelle und das BAG die Kosten für Forschung und Entwicklung von B._______ hätte berücksichtigen müssen (vgl. Art. 65b Abs. 6 KVV). Die Frage des Patentschutzes sei für das vorliegende Verfahren zentral. Dabei sei es unrichtig, dass die Beschwerdeführerin erst im Verlauf des Verfahrens einen Patentschutz geltend gemacht habe; bereits bei der ersten Eingabe habe die Beschwerdeführerin auf den Patentschutz betreffend B._______ hingewiesen (BVGer-act. 1, Rz. 63 ff.). Replicando ergänzte die Beschwerdeführerin, die Vorinstanz habe das vorliegende Patent ([...]; vgl. Beilage 10 zu BVGer-act. 1) pauschal mit der Begründung nicht berücksichtigt, dass nicht überprüfbar sei, inwiefern B._______ unter die geschützte Methode falle. Der therapeutische Fortschritt liege in der höheren Arzneimittelsicherheit von B._______, welches (...) als die vom BAG geltend gemachten Vergleichsarzneimittel (BVGer-act. 15, Rz. 13 f.).</w:t>
      </w:r>
    </w:p>
    <w:p>
      <w:r>
        <w:rPr>
          <w:b/>
        </w:rPr>
        <w:t>E. 6.3</w:t>
      </w:r>
    </w:p>
    <w:p>
      <w:r>
        <w:t>Der Bundesrat hat dem Departement bezüglich der Preisüberprüfung weitreichende Vollzugskompetenzen zugestanden und der Zulassungsinhaberin nicht nur bei der Aufnahme, sondern auch bei der dreijährlichen Überprüfung erhebliche Mitwirkungspflichten auferlegt (vgl. Art. 13 VwVG). Letztere hat er sodann in Art. 65d Abs. 5 KVV konkretisiert. Nichts anderes ergibt sich aus dem französischen («Le titulaire de l'autorisation communique toutes les informations nécessaires à l'OFSP») und dem italienischen («Il titolare dell'omologazione comunica all'UFSP tutte le informazioni necessarie») Gesetzestext. Dies entbindet die Vorinstanz indes nicht davon, den notwenigen Sachverhalt von Amtes wegen zu erheben und entsprechende Dokumente von der Zulassungsinhaberin einzuverlangen. Dies gilt umso mehr, da die Inhaberin der Zulassung für ein Originalpräparat mit dem Gesuch um Aufnahme in die Spezialitätenliste dem BAG die Nummer der Patente und der ergänzenden Schutzzertifikate sowie deren Ablaufdatum anzugeben hat (Art. 65 Abs. 4 KVV). Darüberhinausgehende Information sind folglich auch bei Neuaufnahmegesuchen lediglich auf Aufforderung des BAG einzureichen.</w:t>
      </w:r>
    </w:p>
    <w:p>
      <w:r>
        <w:rPr>
          <w:b/>
        </w:rPr>
        <w:t>E. 6.4</w:t>
      </w:r>
    </w:p>
    <w:p>
      <w:r>
        <w:t>Soweit die Vorinstanz geltend macht, die Zulassungsinhaberin könne mit dem geltend gemachten Patentschutz keine Rechte für den TQV ableiten, zumal es für das BAG nicht überprüfbar sei, inwiefern B._______ effektiv unter die geschützte Methode falle und daher vom Patentschutz gedeckt sei (vgl. Beilage 2, S. 6 zu BAG-act. 1), überzeugen ihre pauschalen Ausführungen nicht. Insbesondere ist nicht nachvollziehbar, inwiefern sich diesbezüglich ergänzende Abklärungen im Rahmen ihrer Untersuchungspflicht als unzumutbar erweisen würden. Es fehlt denn auch gänzlich an einer (substantiierten) Darlegung von Gründen, weshalb eine diesbezügliche Sachverhaltsfeststellung der Vorinstanz nicht zumutbar wäre. Auf der anderen Seite ist die Zulassungsinhaberin ihrer gesetzliche Mitwirkungspflicht nachgekommen und hat - entgegen der Darstellung der Vorinstanz - bereits am 8. Februar 2018 bei der Eingabe der erforderlichen Daten für die dreijährliche Überprüfung der Aufnahmebedingungen in die Internet-Applikation die entsprechende Nummer des Patents (...) sowie dessen Ablaufdatum ([...] 2026) eingegeben (Beilage 10 zu BVGer-act. 1). Dass die Vorinstanz mit ihrem Vorgehen den Untersuchungsgrundsatz im Rahmen der dreijährlichen Überprüfung der Aufnahmebedingungen in besonders gravierender Weise missachtet hat, ergibt sich aus dem Folgenden:</w:t>
      </w:r>
    </w:p>
    <w:p>
      <w:r>
        <w:rPr>
          <w:b/>
        </w:rPr>
        <w:t>E. 6.4.1</w:t>
      </w:r>
    </w:p>
    <w:p>
      <w:r>
        <w:t>Patentgeschützte Originalpräparate werden hinsichtlich der Wirtschaftlichkeit grundsätzlich nach den gleichen Kriterien beurteilt wie nicht mehr patentgeschützte Originalpräparate (insbesondere nach Art. 65b Abs. 1-5 KVV), und unterliegen ebenfalls der dreijährlichen Überprüfung nach Art. 65d KVV. Bei patentgeschützten Originalpräparaten ist jedoch bei der Bestimmung des wirtschaftlichen Preises zusätzlich den Kosten für Forschung und Entwicklung Rechnung zu tragen, sofern es sich nicht um ein Nachfolgepräparat ohne therapeutischen Fortschritt handelt (Art. 65b Abs. 6 KVV in der seit 1. Juni 2015 geltenden Fassung). Bei einem bedeutenden therapeutischen Fortschritt wird zudem im Rahmen des TQV während höchstens 15 Jahren ein Innovationszuschlag berücksichtigt (Art. 65b Abs. 7 KVV in der seit 1. März 2017 geltenden Fassung), welcher den Mehrnutzen eines Arzneimittels gegenüber einem anderen, bereits auf der Spezialitätenliste aufgeführten Arzneimittel repräsentiert (vgl. Eugster, Krankenversicherung, in: Soziale Sicherheit, SBVR Bd. XIV, 3. Aufl. 2016, Rz. 714 S. 627). Nach Patentablauf werden die Kosten für Forschung und Entwicklung sowie ein allfälliger Innovationszuschlag bei der Wirtschaftlichkeitsprüfung nicht mehr berücksichtigt (Art. 65e Abs. 2 Satz 2 und Abs. 3 KVV), weil dann die Kosten für Forschung und Entwicklung grundsätzlich als amortisiert gelten (vgl. Gächter/Meienberger, Rechtsgutachten zuhanden der Parlamentarischen Verwaltungskontrolle vom 8. Februar 2013, in: Evaluation der Zulassung und Überprüfung von Medikamenten in der obligatorischen Krankenpflegeversicherung vom 13. Juni 2013 - Materialien zum Bericht der Parlamentarischen Verwaltungskontrolle zuhanden der Geschäftsprüfungskommission des Ständerates, Rz. 48 S. 33 f.).</w:t>
      </w:r>
    </w:p>
    <w:p>
      <w:r>
        <w:rPr>
          <w:b/>
        </w:rPr>
        <w:t>E. 6.4.2</w:t>
      </w:r>
    </w:p>
    <w:p>
      <w:r>
        <w:t>Die Frage, wie der Patentschutz bzw. die Kosten für Forschung und Entwicklung bei der Preisbestimmung eines Originalpräparats zu berücksichtigen sind, regeln die KVV und die KLV nicht. Klar scheint, dass nicht die tatsächlichen Entwicklungs- und Einführungskosten eines bestimmten Originalpräparates zu berücksichtigen sind, da sich diese - wenn überhaupt - nur durch langwierige und kostspielige Untersuchungen ermitteln liessen, was nicht bloss unverhältnismässig, sondern auch unpraktikabel wäre (BGE 108 V 150 E. 3a). In der Praxis trägt die Vorinstanz dem Patentschutz bzw. den Kosten für Forschung und Entwicklung bei der Preisbestimmung dadurch Rechnung, indem sie bei der Aufnahme oder Überprüfung von patentgeschützten Originalpräparaten den TQV grundsätzlich nur mit patentgeschützten Originalpräparaten durchführt. Falls keine geeigneten patentgeschützten Vergleichspräparate vorhanden sind, zieht sie für den TQV patentabgelaufene Originalpräparate bei, wobei aber auf deren wirtschaftlichen Preis vor der Überprüfung nach Patentablauf abgestellt wird (Ziffern C.2.1.5 und E.1.9 SL-Handbuch; Rundschreiben des BAG vom 13. Dezember 2017; vgl. auch Urteil des BVGer C-6093/2018 vom 17. März 2020 insbesondere E. 5.1, 5.2 und 6.3). Weiter gewährt die Vorinstanz - wie erwähnt - bei der Beurteilung der Wirtschaftlichkeit während höchstens 15 Jahren einen Innovationszuschlag von in der Regel höchstens 20 Prozent, wenn für ein Arzneimittel im Vergleich zu anderen Arzneimitteln ein bedeutender therapeutischer Fortschritt aufgezeigt werden kann. Der Fortschritt resp. therapeutische Mehrwert in der medizinischen Behandlung ist dabei anhand von beigelegten kontrollierten klinischen Studien zu begründen (Ziffer 2.2 SL-Handbuch).</w:t>
      </w:r>
    </w:p>
    <w:p>
      <w:r>
        <w:rPr>
          <w:b/>
        </w:rPr>
        <w:t>E. 6.4.3</w:t>
      </w:r>
    </w:p>
    <w:p>
      <w:r>
        <w:t>Nach dem Gesagten kann die Berechnung des TQV nicht ohne vorgängige Abklärung bezüglich dem Bestand eines Patentschutzes durchgeführt werden; die Berechnung unterscheidet sich bei Präparaten mit Patentschutz und solchen ohne Patentschutz massgeblich. Dies gilt umso mehr, als die Nichtbeachtung eines potentiellen Patentschutzes des Präparats der Zulassungsinhaberin letztlich auch zu einer Ungleichbehandlung gegenüber anderen Zulassungsinhaberinnen mit patentgeschützten Originalpräparaten führen kann.</w:t>
      </w:r>
    </w:p>
    <w:p>
      <w:r>
        <w:rPr>
          <w:b/>
        </w:rPr>
        <w:t>E. 6.5</w:t>
      </w:r>
    </w:p>
    <w:p>
      <w:r>
        <w:t>Zusammenfassend ist festzuhalten, dass die Vorinstanz, indem sie ohne weitergehende Abklärungen und die Durchführung von Beweismassnahmen offen liess, ob es sich bei B._______ um ein patentgeschütztes Originalpräparat handelt, bei der Ermittlung des massgebenden Sachverhaltes den Untersuchungsgrundsatz und somit Bundesrecht verletzt hat.</w:t>
      </w:r>
    </w:p>
    <w:p>
      <w:r>
        <w:rPr>
          <w:b/>
        </w:rPr>
        <w:t>E. 7.1</w:t>
      </w:r>
    </w:p>
    <w:p>
      <w:r>
        <w:t>Die Vorinstanz hat demnach das rechtliche Gehör der Beschwerdeführerin sowie den Grundsatz der Sachverhaltsfeststellung von Amtes wegen verletzt. Die Beschwerde ist deshalb bereits aus formellen Gründen gutzuheissen, die angefochtene Verfügung aufzuheben und die Sache zur umfassenden Sachverhaltsfeststellung sowie neuem Entscheid an die Vorinstanz zurückzuweisen.</w:t>
      </w:r>
    </w:p>
    <w:p>
      <w:r>
        <w:rPr>
          <w:b/>
        </w:rPr>
        <w:t>E. 7.2</w:t>
      </w:r>
    </w:p>
    <w:p>
      <w:r>
        <w:t>Vor diesem Hintergrund kann auch das Akteneinsichtsgesuch und die damit verbundene Rüge der Verletzung des rechtlichen Gehörs der Beschwerdeführerin betreffend die Aufnahmegesuche anderer Zulassungsinhaberinnen (vgl. BVGer-act. 1, Rz. 64 ff.) offen bleiben. So wird der Gegenstand des Akteneinsichtsrechts in Art. 26 Abs. 1 VwVG in nicht abschliessender Weisen konkretisiert. Es handelt sich um Unterlagen und Aktenstücke, die zur jeweiligen Sache («in ihrer Sache») gehören. Folglich bezieht sich der Anspruch auf Akteneinsicht auf die jeweilige Sache und geht nicht über diese hinaus. Art. 26 VwVG gewährt somit grundsätzlich weder ein Einsichtsrecht in die Akten eines «anderen» (nicht die jeweilige Partei betreffenden) Verfahrens, noch verschafft er einen Zugriff auf Akten anderer Behörden, solange die entscheidende Behörde sie nicht - von Amtes wegen oder auf Antrag einer Behörde - beizieht oder beizuziehen gedenkt (vgl. Waldmann/Oeschger, Praxiskommentar VwVG, Rz. 59 zu Art. 26). Damit wird ein allfälliges Akteneinsichtsrecht der Zulassungsinhaberin bezüglich der Aufnahmegesuche anderer Zulassungsinhaberinnen davon abhängig sein, ob die Vorinstanz diese im Rahmen der weiteren Sachverhaltsabklärung beiziehen wird.</w:t>
      </w:r>
    </w:p>
    <w:p>
      <w:r>
        <w:rPr>
          <w:b/>
        </w:rPr>
        <w:t>E. 8.1</w:t>
      </w:r>
    </w:p>
    <w:p>
      <w:r>
        <w:t>Das Bundesverwaltungsgericht auferlegt gemäss Art. 63 Abs. 1 VwVG die Verfahrenskosten in der Regel der unterliegenden Partei. Eine Rückweisung gilt praxisgemäss als Obsiegen der beschwerdeführenden Partei (BGE 137 V 57 E. 2.1 m.H.), sodass vorliegend keine Verfahrenskosten zu erheben sind. Der am 30. Januar 2019 geleistete Kostenvorschuss von Fr. 5'000.- ist der Beschwerdeführerin nach Eintritt der Rechtskraft dieses Urteils auf ein von ihr anzugebendes Konto zurückzuerstatten. Der unterliegenden Vorinstanz werden keine Verfahrenskosten auferlegt (Art. 63 Abs. 2 VwVG).</w:t>
      </w:r>
    </w:p>
    <w:p>
      <w:r>
        <w:rPr>
          <w:b/>
        </w:rPr>
        <w:t>E. 8.2</w:t>
      </w:r>
    </w:p>
    <w:p>
      <w:r>
        <w:t>Die obsiegende, anwaltlich vertretene Beschwerdeführerin hat gemäss Art. 64 Abs. 1 und 2 VwVG in Verbindung mit Art. 7 ff. des Reglements vom 21. Februar 2008 über die Kosten und Entschädigungen vor dem Bundesverwaltungsgericht (VGKE, SR 173.320.2) zu Lasten der Vorinstanz Anspruch auf eine Parteientschädigung für die ihr erwachsenen notwendigen und verhältnismässig hohen Kosten. Da keine Kostennote eingereicht wurde, ist die Entschädigung aufgrund der Akten festzusetzen (Art. 14 Abs. 2 Satz 2 VGKE). Unter Berücksichtigung des Verfahrensausgangs, der zu prüfenden Rügen, des gebotenen und aktenkundigen Aufwands bei drei Schriftenwechseln, der Bedeutung der Streitsache und der Schwierigkeit der vorliegend zu beurteilenden Fragen, ist der Beschwerdeführerin zu Lasten der Vorinstanz eine als angemessen zu erachtende Parteientschädigung von Fr. 5'000.- (inkl. Auslagen und Mehrwertsteuer) zuzusprechen. Die Vorinstanz hat keinen Anspruch auf eine Parteientschädigung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