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C-4476/2013 vom 30. Oktober 2014</w:t>
      </w:r>
    </w:p>
    <w:p>
      <w:r>
        <w:t>Bundesverwaltungsgericht, 2014-10-30, FR</w:t>
      </w:r>
    </w:p>
    <w:p>
      <w:r>
        <w:rPr>
          <w:b/>
        </w:rPr>
        <w:t xml:space="preserve">Quelle: </w:t>
      </w:r>
      <w:r>
        <w:t>https://mcp.opencaselaw.ch/entscheid/bvger_C-4476_2013</w:t>
      </w:r>
    </w:p>
    <w:p>
      <w:r>
        <w:t>FR: TAF C-4476/2013 du 30 octobre 2014</w:t>
      </w:r>
    </w:p>
    <w:p>
      <w:r>
        <w:t>IT: TAF C-4476/2013 del 30 ottobre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lesquels ont pris part à la procédure devant l'autorité inférieure, ont qualité pour recourir (art. 48 al. 1 PA; cf. également à cet égard ATAF 2014/1 consid. 1.3.2).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C-2942/2013 du 17 février 2014 consid. 3 et la jurisprudence).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de RDC, B._______ est soumise à l'obligation du visa.</w:t>
      </w:r>
    </w:p>
    <w:p>
      <w:r>
        <w:rPr>
          <w:b/>
        </w:rPr>
        <w:t>E. 5</w:t>
      </w:r>
    </w:p>
    <w:p>
      <w:r>
        <w:t>Dans la décision querellée, l'ODM a refusé d'autoriser l'entrée en Suisse de la prénommée au motif notamment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en RDC,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particulières que connaît l'ensemble de la population de la RDC. Avec un produit intérieur brut (PIB) par habitant de 272 USD en 2012, cet Etat demeure très en dessous des standards européens. La RDC reste par ailleurs l'un des pays les plus pauvres de la planète. Pour l'année 2012, l'indice de développement humain (IDH), qui prend en compte la santé, l'éducation et le revenu des personnes, la classe en avant-dernière position (source: le site internet du Ministère français des affaires étrangères, à l'adresse http://www.diplomatie.gouv.fr/fr/dossiers-pays/republique-démocratique-du-congo/presentation-de-la-republique-1274/, mis à jour le 20 février 2014, consulté en octobre 2014). Dès lors, les conditions socio-économiques difficiles et l'instabilité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les arrêts du Tribunal administratif fédéral C-3919/2012 du 16 janvier 2013 consid. 7 et C-3821/2011 du 28 février 2012 consid. 7.1).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w:t>
      </w:r>
    </w:p>
    <w:p>
      <w:r>
        <w:rPr>
          <w:b/>
        </w:rPr>
        <w:t>E. 5.3</w:t>
      </w:r>
    </w:p>
    <w:p>
      <w:r>
        <w:t>En l'occurrence, le Tribunal relève que B._______, qui a passé toute sa vie en RDC et a désormais atteint l'âge de la retraite, ne présente pas, de prime abord, un profil migratoire à risque, à tout le moins sur un plan économique. Il apparaît en effet peu probable qu'elle choisisse, à 80 ans, de s'exiler dans un environnement qui lui est étranger. Cela étant, le Tribunal ne saurait faire abstraction de l'âge avancé de l'intéressée. En dépit du fait qu'elle ne semble souffrir d'aucune pathologie apparente, B._______ se trouve dans une tranche d'âge où des complications médicales peuvent survenir rapidement, de manière imprévisible et nécessiter des soins importants. Or, en présence d'une personne âgée en provenance d'un pays à la situation sanitaire particulièrement précaire, les craintes que celle-ci prolonge, volontairement ou non, son séjour dans un pays de l'Espace Schengen en raison des infrastructures médicales supérieures à disposition et d'une prise en charge plus adéquate liée à son état de santé sont bien réelles et ne sauraient être sous-évaluées. Pour contrebalancer ces craintes, il faudrait être en présence d'éléments particulièrement forts et concrets à même de garantir le retour de la personne concernée, condition qui n'apparaît en l'espèce pas réunie. Le Tribunal constate, au contraire, que certains éléments du dossier laissent planer des doutes sur les réelles intentions de sa venue en Suisse. Il convient de remarquer ainsi que, dans le cadre de sa précédente demande de visa Schengen du 12 mars 2012, B._______ a produit un passeport falsifié, dès lors que quatre pages de ce document avaient été changées et qu'un tampon y avait été effacé. Il apparaît ensuite que, lors de sa première demande de visa d'entrée en Suisse du 10 septembre 2003, l'intéressée déclarait déjà être veuve, alors que A._______ a ultérieurement produit une "attestation de veuvage" établie le 6 juin 2012 par la commune de D._______, selon laquelle B._______ était veuve depuis le 23 mars 2010. Les éléments relevés ci-avant ne manquent pas de mettre en doute la crédibilité des recourants et, par voie de conséquence, la fiabilité de leurs allégations dans le cadre de la présente procédure.</w:t>
      </w:r>
    </w:p>
    <w:p>
      <w:r>
        <w:rPr>
          <w:b/>
        </w:rPr>
        <w:t>E. 5.4</w:t>
      </w:r>
    </w:p>
    <w:p>
      <w:r>
        <w:t>Le Tribunal relève enfin que la délivrance d'un visa Schengen n'est pas le seul moyen pour B._______ de maintenir des relations familiales avec son fils A._______, dès lors que les intéressés sont en mesure de se rencontrer dans le cadre des séjours opérés par le prénommé en RDC, où celui-ci s'est d'ailleurs rendu durant la présente procédure (cf. déterminations du 13 novembre 2013).</w:t>
      </w:r>
    </w:p>
    <w:p>
      <w:r>
        <w:rPr>
          <w:b/>
        </w:rPr>
        <w:t>E. 6</w:t>
      </w:r>
    </w:p>
    <w:p>
      <w:r>
        <w:t>6.1En conséquence, le désir exprimé par B._______, parfaitement compréhensible, de venir en Suisse rendre visite à son fils et à sa famille, ne constitue pas, en l'état, un motif justifiant l'octroi d'un visa, à propos duquel elle ne saurait se prévaloir d'aucun droit. S'il peut sembler sévère de refuser à une personne l'autorisation d'entrer dans un pays où sont établis des membres de sa famille, il convient de souligner que cette situation ne diffère pas de celle de nombreux étrangers dont la parenté ou les proches amis demeurent également en Suisse. Enfin, il convient de rappeler que l'intention que peut manifester une personne de retourner dans son pays à l'issue de son séjour, voire son engagement formel à le faire, n'ont aucune force juridique (cf. arrêt du TAF C-1461/2008 du 17 mars 2009 consid. 9 et jurisprudence citée) et ne suffisent pas à garantir que son départ interviendra dans les délais prévus. Partant, au vu de l'ensemble des circonstances, le TAF estime qu'il ne saurait être reproché à l'ODM d'avoir refusé à B._______ la délivrance d'une autorisation d'entrée dans l'Espace Schengen.</w:t>
      </w:r>
    </w:p>
    <w:p>
      <w:r>
        <w:rPr>
          <w:b/>
        </w:rPr>
        <w:t>E. 6.2</w:t>
      </w:r>
    </w:p>
    <w:p>
      <w:r>
        <w:t>Il sied de relever au surplus que les recourants n'ont pas invoqué de raisons susceptibles de justifier la délivrance d'un visa à validité territoriale limitée (cf. consid. 4.4 ci-avant). 7.Il ressort de ce qui précède que, par sa décision du 8 juillet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