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C-446/2009 vom 21. Januar 2010</w:t>
      </w:r>
    </w:p>
    <w:p>
      <w:r>
        <w:t>Bundesverwaltungsgericht, 2010-01-21, IT</w:t>
      </w:r>
    </w:p>
    <w:p>
      <w:r>
        <w:rPr>
          <w:b/>
        </w:rPr>
        <w:t xml:space="preserve">Quelle: </w:t>
      </w:r>
      <w:r>
        <w:t>https://mcp.opencaselaw.ch/entscheid/bvger_C-446_2009</w:t>
      </w:r>
    </w:p>
    <w:p>
      <w:r>
        <w:t>FR: TAF C-446/2009 du 21 janvier 2010</w:t>
      </w:r>
    </w:p>
    <w:p>
      <w:r>
        <w:t>IT: TAF C-446/2009 del 21 gennaio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30 novembre 2007.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30 novembre 2006 (ossia 12 mesi precedenti la presentazione della domanda), oppure se un diritto alla rendita sia sorto tra tale data e l'8 dicembre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essere invalido ai sensi della legge svizzera;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Dopo il rimpatrio, l'interessato ha lavorato, sin dal 1990, come pescatore nell'ambito di una cooperativa locale. Questa attività, di genere pesante, ha potuto essere svolta, senza particolari restrizioni e/o frequenti o prolungate assenze da imputare a malattia, fino al 14 novembre 2005. Per il seguito, è rimasto assente, per ragioni di salute, fino al 31 gennaio 2006, ha poi ripreso in febbraio, ma è stato assegnato a lavori più leggeri (pulitura del pesce, riparazione delle reti) per 24 ore settimanali, invece delle normali 48 (doc. 8-11). Per quanto risulta dagli atti egli è ancora in forza in tale lavoro o, se non altro, era in forza al momento della compilazione del questionario del datore di lavoro il 21 agosto 2008 (doc. 11).</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VSI 2000 p. 84).</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in sede d'istruttoria, è stata sostanzialmente evidenziata la diagnosi di spondilodiscite L5-S1 nel novembre 2005, spondiloartrosi lombare con segni strumentali di iniziale stenosi lombare a lieve incidenza funzionale, sindrome ansio-depressiva reattiva (cfr. perizia medica particolareggiata del 15 febbraio 2008, E 213). La documentazione medica esibita in sede ricorsuale non ha posto in luce ulteriori patologie.</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servizio medico dell'INPS (perizia particolareggiata, E 213, del 15 febbraio 2008, doc. 28.1) pone un tasso d'invalidità del 50% pur precisando che l'assicurato è in grado di svolgere un lavoro leggero. Dal canto suo, il Dott. Lamberti, medico del SMR, dopo aver constatato che l'interessato lavora, perlomeno a metà tempo, ha affermato che egli potrebbe anche assumere lavori più leggeri in misura completa (doc. 30, 38)-</w:t>
      </w:r>
    </w:p>
    <w:p>
      <w:r>
        <w:rPr>
          <w:b/>
        </w:rPr>
        <w:t>E. 10.2</w:t>
      </w:r>
    </w:p>
    <w:p>
      <w:r>
        <w:t>L'assicurato è portatore di una patologia ortopedica di scarsa rilevanza invalidante perlomeno in attività confacenti. L'esame obbiettivo svolto dallo specialista (doc. 27) rileva unicamente e sostanzialmente un rachide lombare riferito spinalgico non contratturato, limitazione della flessione per circa un quarto per difesa antalgica, ROT presenti e validi, non ipotonotrofia agli arti inferiori, deambulazione autonoma; l'esperto stesso giudica lieve l'incidenza funzionale di queste affezioni. La patologia insorta nell'ottobre / novembre 2005 (discite) è di tipo infettivo, ma non ha comportato reliquati di tipo radicolare o altamente infiammatori. Dalla stessa il paziente si è ben rimesso, tant'è che ha ripreso la sua attività, sebbene a ritmo ridotto e con compiti meno gravosi. Permangono dei segni di un processo degenerativo di una certa importanza che escludono che egli possa esercitare attività pesanti. I referti radiografici esibiti con il ricorso (16 dicembre 2008) non fanno che confermare tale situazione non allarmante e non debilitante. Come osserva il Dott. Lamberti, le irregolarità riscontrate non comportano disfunzioni della statica vertebrale e/o lesioni degenerative della colonna dorsolombare. L'attuale situazione è incompatibile, solamente, con attività che comportino sforzi eccessivi, il trasporto di pesi importanti, posizioni inergonomiche e lunghi tragitti a piedi. Per il resto, l'interessato, si presenta in condizioni di salute generali ancora buone, ogni altro organo ed apparato essendo indenne da patologie. Infatti, una modica sindrome ansio-depressiva, sotto controllo farmacologico, non giustifica il riconoscimento di un'incapacità al lavoro di rilievo. In caso di scarsa risposta alle cure medicamentose, il problema va riesaminato dagli appositi servizi sanitari specialistici. Non ci si trova comunque in ambito di patologie psichiche gravi richiedenti un'istruttoria più approfondita.</w:t>
      </w:r>
    </w:p>
    <w:p>
      <w:r>
        <w:rPr>
          <w:b/>
        </w:rPr>
        <w:t>E. 10.3</w:t>
      </w:r>
    </w:p>
    <w:p>
      <w:r>
        <w:t>Il collegio giudicante, sulla scorta dei pareri dei medici dell'UAIE, ritiene che A.________ potrebbe svolgere, a tempo pieno, attività di ripiego leggere e/o semisedentarie, ripetitive e semplici, quali quella di operaio addetto al controllo di macchine di produzione automatica, operaio addetto all'imballaggio di piccoli oggetti, portiere d'albergo, addetto alla ricezione in portinerie di grandi ditte, fattorino; custode di museo o di parcheggio, aiuto magazziniere, benzinaio.</w:t>
      </w:r>
    </w:p>
    <w:p>
      <w:r>
        <w:rPr>
          <w:b/>
        </w:rPr>
        <w:t>E. 10.4</w:t>
      </w:r>
    </w:p>
    <w:p>
      <w:r>
        <w:t>Vero è che la ricerca di un posto di lavoro adatto alle capacità dell'interessato appare difficoltosa, vista la sua età,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Occorre pertanto esaminare se, nell'ambito di attività di sostituzione, l'insorgente presenti un'incapacità di guadagno di rilievo.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w:t>
      </w:r>
    </w:p>
    <w:p>
      <w:r>
        <w:t>L'amministrazione ha considerato (calcolo aggiornato effettuato il 30 marzo 2009, doc. 40) quale salario privo d'invalidità, quello conseguibile nel 2007 come operaio nel settore primario (agricoltura e pesca). Tale modo di procedere è tutelabile ed è peraltro nettamente favorevole per il ricorrente, dal momento che il suo salario attuale si situerebbe senza invalidità a soli Euro 758.- al mese (doc. 11), mentre la retribuzione, secondo le statistiche, è di Euro 1'298,94 al mese. Quale reddito da invalido l'UAIE ha ritenuto quello ottenibile in attività di tipo leggero non qualificate e ripetitive. Queste attività comportano un salario medio mensile di Euro 1'227,09 (2007). Questo introito teorico può essere ridotto per tenere conto dei fattori personali dell'assicurato (DTF 126 V 75), quali età, handicap. L'amministrazione ha operato una deduzione complessiva del 10%, che può essere condivisa, atteso che la riduzione massima consentita si situa al 25%, ma solo in casi eccezionali. Deve essere aggiunto che nell'ambito dell'applicazione di tale riduzione per fattori personali, l'amministrazione gode di un'ampia autonomia di giudizio, che il giudice può rivedere soli in casi motivati, ciò che non è il caso in specie. Ne consegue un reddito mensile da invalido di Euro 1'104,38. Il confronto fra un reddito privo d'invalidità di Euro 1'298,94 ed un introito teorico dopo l'insorgenza dell'invalidità di Euro 1'104,38, causa una perdita di guadagno del 14,98% (arrotondato al 15%), tasso che esclude il riconoscimento del diritto ad un quarto di rendita dell'assicurazione svizzera per l'invalidità.</w:t>
      </w:r>
    </w:p>
    <w:p>
      <w:r>
        <w:rPr>
          <w:b/>
        </w:rPr>
        <w:t>E. 12</w:t>
      </w:r>
    </w:p>
    <w:p>
      <w:r>
        <w:t>A titolo abbondanziale si osserva che le risultanze di carattere medico/economico di cui sopra sono parzialmente confermate dalla situazione di fatto. L'assicurato, dal 1° febbraio 2006, ha ripreso il lavoro presso la stessa cooperativa. Egli è stato assegnato a compiti più leggeri come la pulitura del pesce o la riparazione delle reti (doc. 8, 11). Inoltre, ha ridotto il suo lavoro a 24 ore settimanali (invece di 48). Ora, per atti concludenti, l'assicurato ha dimostrato di saper mettere a profitto le sue superstiti energie lavorative. Va rilevato che le attività di sostituzione che il datore di lavoro gli ha offerto dopo gennaio 2006 non sono propriamente leggere e/o semisedentarie. La pulitura di pesci è un lavoro che, normalmente, si svolge in piedi in ambienti umidi e/o sovente all'aperto ed al freddo; la riparazione delle reti, dal canto suo, necessita posizioni inergonomiche ed è un lavoro faticoso. Pertanto, in attività di ripiego più consone, la sua capacità di lavoro potrebbe essere senz'altro superiore alle attuali 24 ore settimanali e raggiungere le 40 ore statisticamente rilevanti.</w:t>
      </w:r>
    </w:p>
    <w:p>
      <w:r>
        <w:rPr>
          <w:b/>
        </w:rPr>
        <w:t>E. 13.1</w:t>
      </w:r>
    </w:p>
    <w:p>
      <w:r>
        <w:t>In queste circostanze il ricorso deve essere respinto e l'impugnata decisione confermata. Il ricorso in esame può essere risolto da un giudice unico in applicazione dell'art. 69 cpv. 2 LAI.</w:t>
      </w:r>
    </w:p>
    <w:p>
      <w:r>
        <w:rPr>
          <w:b/>
        </w:rPr>
        <w:t>E. 13.2</w:t>
      </w:r>
    </w:p>
    <w:p>
      <w:r>
        <w:t>Le spese processuali, ammontanti a Fr. 300.-, sono poste a carico del ricorrente e vengono compensate con l'anticipo già versato di Fr. 300.-.</w:t>
      </w:r>
    </w:p>
    <w:p>
      <w:r>
        <w:rPr>
          <w:b/>
        </w:rPr>
        <w:t>E. 13.3</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