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C-4465/2018 vom 4. Februar 2020</w:t>
      </w:r>
    </w:p>
    <w:p>
      <w:r>
        <w:t>Bundesverwaltungsgericht, 2020-02-04, DE</w:t>
      </w:r>
    </w:p>
    <w:p>
      <w:r>
        <w:rPr>
          <w:b/>
        </w:rPr>
        <w:t xml:space="preserve">Quelle: </w:t>
      </w:r>
      <w:r>
        <w:t>https://mcp.opencaselaw.ch/entscheid/bvger_C-4465_2018</w:t>
      </w:r>
    </w:p>
    <w:p>
      <w:r>
        <w:t>FR: TAF C-4465/2018 du 4 février 2020</w:t>
      </w:r>
    </w:p>
    <w:p>
      <w:r>
        <w:t>IT: TAF C-4465/2018 del 4 febbraio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3. Juli 2018 zur Erhebung der Beschwerde legitimiert (Art. 48 Abs. 1 VwVG; Art. 59 ATSG [SR 830.1]). Nachdem der Kostenvorschuss rechtzeitig geleistet wurde (BVGer act. 4), ist auf die frist- und formgerecht eingereichte Beschwerde vom 2. August 2018 einzutreten (Art. 50 Abs. 1, Art. 52 Abs. 1 und Art. 63 Abs. 4 VwVG; Art. 60 und Art. 38 Abs. 4 lit. b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 Juli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Anfechtungsobjekt und damit Begrenzung des Streitgegenstandes des vorliegenden Beschwerdeverfahrens (vgl. BGE 131 V 164 E. 2.1) bildet die Verfügung vom 3. Juli 2018 (act. 56). Streitig und vom Bundesverwaltungsgericht zu prüfen ist der Anspruch des Beschwerdeführers auf eine schweizerische Invalidenrente.</w:t>
      </w:r>
    </w:p>
    <w:p>
      <w:r>
        <w:rPr>
          <w:b/>
        </w:rPr>
        <w:t>E. 4.1</w:t>
      </w:r>
    </w:p>
    <w:p>
      <w:r>
        <w:t>Der RAD-Allgemeinmediziner Dr. Dr. D._______ kam in seinen beiden Stellungnahmen zum Schluss, dass dem Beschwerdeführer eine angepasste, wechselbelastende Tätigkeit mit einer Gewichtslimite von 5 kg «ohne weiteres» zumutbar sei (act. 47, 55). Er stützte sich dabei ausschliesslich auf die Akten ohne eigene Untersuchung des Versicherten. Seine Begründung fiel - wie in den Sachverhaltserwägungen A.d und A.e dargestellt - eher knapp aus.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4.2</w:t>
      </w:r>
    </w:p>
    <w:p>
      <w:r>
        <w:t>Der internistische «Gesamtgutachter» Dr. B._______, der den Versicherten für die österreichische Pensionsversicherungsanstalt abklärte, kam in Kenntnis der Vorakten (Anamnese), in Berücksichtigung der geklagten Beschwerden und nach einer «Untersuchung am 8. Juni 2017 im Kompetenzzentrum» zu folgender Gesamtbeurteilung: «Der (...) Untersuchte präsentiert sich in recht gutem AZ, normalem EZ. Aus internistisch-kardiologischer Sicht ist seit einem Vorderwandherzinfarkt im September 2013 eine ischämische Kardiomyopathie bekannt, es ist ein ausgedehntes Aneurysma vorbeschrieben, im Rahmen regelmässiger kardialer Kontrollen ist anhaltend eine hochgradig eingeschränkte systolische Pumpfunktion des linken Ventrikels festgestellt, mit einer EF von 25 bis 30 %, sodass die Indikation zur Implantation eines ICD-Gerätes primärprophylaktisch indiziert wäre. Den Termin zur Implantation hat er aufgrund seiner Ängste aber abgesagt. Prophylaktisch ungünstig wird der Nikotinkonsum in recht ausgeprägtem Ausmass weiter betrieben, die Medikamenteneinnahme ist laut Anamnese auch nicht regelmässig gegeben. In psychischer Hinsicht steht er seit 2010 in regelmässiger Therapie beim Nervenfacharzt Dr. C._______; laut seinem aktuellen Arztbrief vom 1. Mai 2017 (act. 33) ist anhaltend eine mittelgradig depressive Störung und eine generalisierte Angsterkrankung bekannt, es ist aus seiner Sicht nicht mehr zu erwarten, dass es zu einer wesentlichen Besserung im Zustand des Untersuchten kommen wird, er wird sowohl in seiner psychischen Belastbarkeit wie auch hinsichtlich seiner Antriebslage eingeschränkt bleiben. Von wesentlichen Beschwerden seitens des Bewegungs-Stützapparats wird aktuell nicht berichtet. In Summe sind die Einschränkungen derart zu werten, dass auch leichte Arbeiten vollschichtig nicht mehr zumutbar sein werden, eine leistungskalkülrelevante Verbesserung ist künftig nicht mehr zu erwarten» (act. 21, Seite 5). «Geregelte Tätigkeiten sind nicht zumutbar» (act. 21, Seite 10).</w:t>
      </w:r>
    </w:p>
    <w:p>
      <w:r>
        <w:rPr>
          <w:b/>
        </w:rPr>
        <w:t>E. 4.3</w:t>
      </w:r>
    </w:p>
    <w:p>
      <w:r>
        <w:t>In Anbetracht des internistischen «Gesamtgutachtens» von Dr. B._______ und des psychiatrischen Berichts von Dr. C._______ ist die ausschliesslich aktenbasierte RAD-Einschätzung in Zweifel zu ziehen. Dass der Versicherte nach dem Herzinfarkt von 2013 und aufgrund der deutlich eingeschränkten Pumpleistung - wenn überhaupt - nur noch für eine angepasste Tätigkeit in Frage kommt und die angestammte Tätigkeit auf dem Bau ausgeschlossen ist, mag noch plausibel scheinen. Ob eine angepasste Tätigkeit «ohne weiteres» und damit auch in Vollzeit zumutbar ist, scheint hingegen fraglich. So ist insbesondere der psychische Gesundheitszustand bislang nur unzureichend abgeklärt worden. Der behandelnde Psychiater Dr. C._______ erachtete Belastbarkeit und Antrieb als dauerhaft eingeschränkt (act. 33). Demgegenüber schliesst der RAD-Allgemeinmediziner Dr. Dr. D._______ allein aufgrund der psychopharmakologischen «Minidosis» und der quartalsmässigen Konsultationsfrequenz beim Psychiater darauf, dass sich die «maximal mittelgradige rezidivierende depressive Störung» in einer angepassten Tätigkeit nicht limitierend auswirke (act. 47, 55). Zur generalisierten Angsterkrankung, die Dr. C._______ auch diagnostizierte, äusserte sich Dr. Dr. D._______ nicht. Auf seine nur unzureichend begründete Behauptung ist nicht abzustellen, zumal Dr. Dr. D._______ - im Gegensatz zu Dr. C._______ - weder Facharzt der Psychiatrie ist noch den Beschwerdeführer aus eigener Wahrnehmung kennt.</w:t>
      </w:r>
    </w:p>
    <w:p>
      <w:r>
        <w:rPr>
          <w:b/>
        </w:rPr>
        <w:t>E. 4.4</w:t>
      </w:r>
    </w:p>
    <w:p>
      <w:r>
        <w:t>Weiter ist gemäss BGE 143 V 418 E. 6 f. die Frage nach den Auswirkungen sämtlicher psychischer Erkrankungen auf das funktionelle Leistungsvermögen grundsätzlich unter Anwendung des strukturierten Beweisverfahrens nach BGE 141 V 281 zu beantworten. Auch insofern ist die bisherige Abklärung ungenügend. Für eine gewisse Schwere des Krankheitsbilds spricht sodann, dass der Versicherte vom 26. Januar 2011 bis am 17. Mai 2011 eine stationäre Alkoholentwöhnungstherapie in einem Krankenhaus machen musste (act. 12) und er seit dieser Zeit in der psychiatrischen Behandlung von Dr. C._______ steht (act. 9, 10). Der Herzinfarkt von 2013 und die verbleibende deutlich eingeschränkte Pumpleistung dürften sich vermutlich auch auf den psychischen Gesundheitszustand nachteilig ausgewirkt haben. Der von Dr. C._______ im Arztbrief vom 1. Mai 2017 (act. 33) diagnostizierten mittelgradigen depressiven Störung kann vor diesem Hintergrund ebenso wie der generalisierten Angsterkrankung nicht leichthin die Relevanz abgesprochen werden.</w:t>
      </w:r>
    </w:p>
    <w:p>
      <w:r>
        <w:rPr>
          <w:b/>
        </w:rPr>
        <w:t>E. 4.5</w:t>
      </w:r>
    </w:p>
    <w:p>
      <w:r>
        <w:t>Im Übrigen ist bei der Beurteilung des Anspruchs auf eine schweizerische Invalidenrente auch nicht auf das internistische «Gesamtgutachten» von Dr. B._______ abzustellen, weil dort weder eine kritische Auseinandersetzung mit den - ebenfalls knappen - Angaben des behandelnden Psychiaters stattfand noch ein strukturiertes Beweisverfahren durchgeführt wurde. Gleiches gilt für das im Einwandverfahren beigebrachte internistische Sachverständigengutachten vom 28. Januar 2016 (act. 53). Nachdem die vorhandenen Akten für die streitigen Belange keine beweistauglichen Unterlagen enthalten, besteht Anlass zu weitergehenden Abklärungen.</w:t>
      </w:r>
    </w:p>
    <w:p>
      <w:r>
        <w:rPr>
          <w:b/>
        </w:rPr>
        <w:t>E. 5</w:t>
      </w:r>
    </w:p>
    <w:p>
      <w:r>
        <w:t>Nach dem Gesagten lassen sich Gesundheitszustand und Leistungsvermögen aufgrund der Aktenlage nicht zuverlässig beurteilen. Die angefochtene Verfügung ist mithin aufzuheben. Zum weiteren Vorgehen ist Folgendes zu erwägen:</w:t>
      </w:r>
    </w:p>
    <w:p>
      <w:r>
        <w:rPr>
          <w:b/>
        </w:rPr>
        <w:t>E. 5.1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Leistungsvermögen des Beschwerdeführers - insbesondere in psychischer Hinsicht - als ungeklärt gelten müssen, ist die vorliegende Sache an die Vorinstanz zurückzuweisen.</w:t>
      </w:r>
    </w:p>
    <w:p>
      <w:r>
        <w:rPr>
          <w:b/>
        </w:rPr>
        <w:t>E. 5.2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 Von einer Veranlassung der medizinischen Begutachtung durch das Bundesverwaltungsgericht im Beschwerdeverfahren, wie sie der Beschwerdeführer beantragt, ist daher abzusehen (BVGer act. 1).</w:t>
      </w:r>
    </w:p>
    <w:p>
      <w:r>
        <w:rPr>
          <w:b/>
        </w:rPr>
        <w:t>E. 5.3</w:t>
      </w:r>
    </w:p>
    <w:p>
      <w:r>
        <w:t>Um eine vollständige und umfassende Beurteilung des Gesundheitszustands und der Arbeitsfähigkeit des Beschwerdeführers zu ermöglichen, erscheint die Durchführung einer interdisziplinären medizinischen Begutachtung in der Schweiz unumgänglich. Die medizinische Aktenlage ist hierfür vorgängig zu aktualisieren, sodass der Verlauf bis zum Zeitpunkt der Begutachtung möglichst lückenlos beurteilt werden kann. Soweit der Beschwerdeführer über medizinische Unterlagen verfügt, die der Vorinstanz noch nicht zugänglich gemacht wurden, sind ihr diese umgehend zur Verfügung zu stellen. Die Vorinstanz hat den Gutachtern sämtliche medizinischen Unterlagen zugänglich zu machen. Angezeigt erscheint - in Anbetracht der RAD-ärztlichen Diagnosen - eine Begutachtung in den Fachdisziplinen Allgemeine Innere Medizin, Rheumatologie und Psychiatrie.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w:t>
      </w:r>
    </w:p>
    <w:p>
      <w:r>
        <w:rPr>
          <w:b/>
        </w:rPr>
        <w:t>E. 5.4</w:t>
      </w:r>
    </w:p>
    <w:p>
      <w:r>
        <w:t>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zwischenzeitlich etablierte Änderung der Rechtsprechung, wonach grundsätzlich sämtliche psychiatrischen Erkrankungen einem strukturierten Beweisverfahren nach BGE 141 V 281 zu unterziehen sind (BGE 143 V 409; BGE 143 V 418), macht - wie erwähnt - eine Begutachtung ebenfalls notwendig, da die bisherigen Erhebungen nicht unter Berücksichtigung der Indikatoren erfolgt sind. Dabei sind unter dem Indikator Komorbidität im Sinne einer Gesamtbetrachtung auch allfällige im konkreten Fall ressourcenhemmende somatische Störungen zu berücksichtigen (vgl. Urteil des BGer 9C_21/2017 E. 5.2.1 mit Hinweis auf BGE 141 V 281 E. 4.3.1.3). Gemäss dem Urteil des BGer 9C_724/2018 vom 11. Juli 2019 E. 6 f. ist auch eine allenfalls fortbestehende Alkoholproblematik im Rahmen eines strukturierten Beweisverfahrens abzuklären.</w:t>
      </w:r>
    </w:p>
    <w:p>
      <w:r>
        <w:rPr>
          <w:b/>
        </w:rPr>
        <w:t>E. 5.5</w:t>
      </w:r>
    </w:p>
    <w:p>
      <w:r>
        <w:t>Die polydisziplinäre Begutachtung hat in der Schweiz zu erfolgen, zumal die Abklärungsstelle mit den Grundsätzen der schweizerischen Versicherungsmedizin vertraut sein muss. Dies gilt im vorliegenden Fall namentlich mit Blick auf das zwischenzeitlich etablierte strukturierte Beweisverfahren und die psychosozialen Belastungsfaktoren (vgl. zur Begutachtung in der Schweiz das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Des Weiteren erfolgt die Gutachterauswahl bei polydisziplinären Begutachtungen in der Schweiz nach dem Zufallsprinzip (vgl. dazu BGE 139 V 349 E. 5.2.1), was im Interesse der Verfahrensbeteiligten liegt. Auf der Grundlage des interdisziplinären Gutachtens ist der Invaliditätsgrad des Beschwerdeführers im Rahmen eines Einkommensvergleichs neu zu bemessen.</w:t>
      </w:r>
    </w:p>
    <w:p>
      <w:r>
        <w:rPr>
          <w:b/>
        </w:rPr>
        <w:t>E. 6</w:t>
      </w:r>
    </w:p>
    <w:p>
      <w:r>
        <w:t>Zusammenfassend ist festzuhalten, dass sich der Rentenanspruch des Beschwerdeführers aufgrund der bestehenden Aktenlage nicht mit überwiegender Wahrscheinlichkeit beurteilen lässt. Die Beschwerde wird daher insoweit gutgeheissen, als die angefochtene Verfügung aufgehoben und die Sache zur weiteren Abklärung und Neubeurteilung im Sinne der Erwägung 5 an die Vorinstanz zurückgewiesen wird.</w:t>
      </w:r>
    </w:p>
    <w:p>
      <w:r>
        <w:rPr>
          <w:b/>
        </w:rPr>
        <w:t>E. 7.1</w:t>
      </w:r>
    </w:p>
    <w:p>
      <w:r>
        <w:t>Die Verfahrenskosten sind in der Regel der unterliegenden Partei aufzuerlegen (Art. 63 Abs. 1 VwVG). Die Rückweisung der Sache an die Vor-instanz zu ergänzenden Abklärungen gilt praxisgemäss als Obsiegen; dem Beschwerdeführer sind keine Verfahrenskosten aufzuerlegen, weshalb ihm der geleistete Kostenvorschuss von Fr. 890.96 nach Eintritt der Rechtskraft dieses Urteils zurückzuerstatten ist (BVGer act. 4). Der Vorinstanz als unterliegende Partei werden keine Verfahrenskosten auferlegt (Art. 63 Abs. 2 VwVG).</w:t>
      </w:r>
    </w:p>
    <w:p>
      <w:r>
        <w:rPr>
          <w:b/>
        </w:rPr>
        <w:t>E. 7.2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mit nur einem Schriftenwechsel, der Bedeutung der Streitsache und der Schwierigkeit des vorliegend zu beurteilenden Verfahrens erscheint eine pauschale Parteientschädigung von Fr. 1'500.- (inkl. Auslagen, ohne Mehrwertsteuer, vgl. Art. 1 Abs. 2 Bst. a MWSTG [SR 641.20] i.V.m. Art. 8 Abs. 1 MWSTG und Art. 9 Abs. 1 Bst. c VGKE) angemessen.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