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C-4464/2010 vom 28. März 2013</w:t>
      </w:r>
    </w:p>
    <w:p>
      <w:r>
        <w:t>Bundesverwaltungsgericht, 2013-03-28, FR</w:t>
      </w:r>
    </w:p>
    <w:p>
      <w:r>
        <w:rPr>
          <w:b/>
        </w:rPr>
        <w:t xml:space="preserve">Quelle: </w:t>
      </w:r>
      <w:r>
        <w:t>https://mcp.opencaselaw.ch/entscheid/bvger_C-4464_2010</w:t>
      </w:r>
    </w:p>
    <w:p>
      <w:r>
        <w:t>FR: TAF C-4464/2010 du 28 mars 2013</w:t>
      </w:r>
    </w:p>
    <w:p>
      <w:r>
        <w:t>IT: TAF C-4464/2010 del 28 marzo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existant au moment où elle statue (cf. ATAF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commentaires &gt; Domaine des étrangers &gt; Procédure et compétences, version du 1er février 2013, site consulté en mars 2013). Il s'ensuit que ni le Tribunal, ni l'ODM ne sont liés par la décision du SPOP du 24 mars 2010 de prolonger l'autorisation de séjour dont l'intéressé bénéficiait antérieurement et peuvent parfaitement s'écarter de l'appréciation faite par l'autorité cantonale précitée.</w:t>
      </w:r>
    </w:p>
    <w:p>
      <w:r>
        <w:rPr>
          <w:b/>
        </w:rPr>
        <w:t>E. 4.1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 Caroni / Gächter / Thurnherr, Bundesgesetz über die Ausländerinnen und Ausländer [AuG], Berne 2010, ad art. 42 n. 55 ; Marc Spescha / Hanspeter Thür / Andreas Zünd / Peter Bölzli, Migrationsrecht, 3ème édition, Zurich 2012, ad art. 42 n. 9).</w:t>
      </w:r>
    </w:p>
    <w:p>
      <w:r>
        <w:rPr>
          <w:b/>
        </w:rPr>
        <w:t>E. 4.2</w:t>
      </w:r>
    </w:p>
    <w:p>
      <w:r>
        <w:t>En l'espèce, à l'examen du dossier, il appert que les époux ont contracté mariage le 29 mars 2006 et que le recourant a rejoint son épouse en Suisse en date du 2 décembre 2006. Suite à une première séparation temporaire d'une durée de plus d'un an, la séparation définitive des conjoints est intervenue respectivement en mai 2009 selon les déclarations de B._______ et en juillet 2009 selon les allégations du recourant (cf. point E ci-avant). Par prononcé de mesures protectrices de l'union conjugale du 21 juillet 2009, le Tribunal civil d'arrondissement de Lausanne a autorisé les époux à vivre séparés. A._______ et B._______ ne font donc plus ménage commun depuis juillet 2009 au plus tard. Ils ont par ailleurs signé une convention réglant les effets accessoires du divorce en décembre 2012. Leur séparation peut partant être considérée comme définitive. Par conséquent, le recourant ne saurait se prévaloir des dispositions de l'art. 42 al. 1 et 3 LEtr, ni de l'art. 49 LEtr; il ne prétend d'ailleurs pas le contraire.</w:t>
      </w:r>
    </w:p>
    <w:p>
      <w:r>
        <w:rPr>
          <w:b/>
        </w:rPr>
        <w:t>E. 5.1</w:t>
      </w:r>
    </w:p>
    <w:p>
      <w:r>
        <w:t>Aux termes de l'art. 50 al. 1 let. a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ou - la poursuite du séjour en Suisse s'impose pour des raisons personnelles majeures (let. b).</w:t>
      </w:r>
    </w:p>
    <w:p>
      <w:r>
        <w:rPr>
          <w:b/>
        </w:rPr>
        <w:t>E. 5.2.1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3.2 ;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II 113 consid. 3.2 in fine et 3.3 ;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toutefois souligné que le ménage commun impliquait une vie conjugale effective et une volonté matrimoniale commune des époux ("ein gegenseitiger Ehewille" ; cf. ATF 137 II 345 consid. 3.1.2). Il a ainsi jugé que la période, durant laquelle les conjoints avaient provisoirement continué à cohabiter en attendant de pouvoir se constituer deux domiciles séparés, ne pouvait être prise en compte dans le calcul des trois ans de l'art. 50 al. 1 let. a LEtr, faute de vie conjugale effective (cf. arrêt du Tribunal fédéral 2C_748/2011 précité, consid. 2.1). Par ailleurs, cette durée de trois ans vaut de façon absolue, quand bien même la fin de la vie conjugale serait intervenue quelques jours ou semaines seulement avant l'expiration de ce délai (cf. notamment arrêt du Tribunal fédéral 2C_748/2011 précité, ibid.).</w:t>
      </w:r>
    </w:p>
    <w:p>
      <w:r>
        <w:rPr>
          <w:b/>
        </w:rPr>
        <w:t>E. 5.2.2</w:t>
      </w:r>
    </w:p>
    <w:p>
      <w:r>
        <w:t>En l'espèce, à première vue, l'union conjugale des époux a duré deux ans et demi, à savoir du 6 décembre 2006 jusqu'en juillet 2009. Si l'on tient toutefois compte de la séparation temporaire d'une durée d'au moins un an, à savoir de 17 mois selon les déclarations de B._______ (cf. point E ci-avant) et 13 mois selon les allégations du recourant (cf. mémoire de recours du 18 juin 2010 point 4), dont le recourant ne nie par ailleurs pas la survenance, la vie commune des conjoints n'a duré qu'un an et demi (sur la prise en compte des séparations temporaires, cf. par exemple l'arrêt du Tribunal administratif fédéral C-3389/2010 du 17 février 2012 consid. 6.1.2 et les références citées). L'exigence de la durée de trois ans valant de manière absolue (cf. consid. 5.2.1 in fine ci-avant), l'on ne saurait suivre la thèse que le recourant a initialement défendue dans son pourvoi du 18 juin 2010, selon laquelle le temps écoulé entre le dépôt de la demande d'autorisation d'entrée en Suisse en avril 2006 et la délivrance du visa en décembre 2006 devait également être pris en compte pour le calcul de la durée de la vie commune. De surcroît, même dans cette hypothèse-là, l'union conjugale des époux n'aurait pas duré trois ans. En conséquence, la première condition posée par l'art. 50 al. 1 let. a LEtr, soit celle de la durée de trois ans de l'union conjugale, n'est en l'espèce pas remplie, ce qui n'est d'ailleurs plus contesté par le recourant. Cette condition et celle de l'intégration réussie étant cumulatives (ATF 136 II 113 consid. 3.3.3), il est renoncé à examiner plus avant cette dernière. Partant, A._______ ne saurait se prévaloir de l'art. 50 al. 1 let. a LEtr pour prétendre au renouvellement de son autorisation de séjour.</w:t>
      </w:r>
    </w:p>
    <w:p>
      <w:r>
        <w:rPr>
          <w:b/>
        </w:rPr>
        <w:t>E. 5.3.1</w:t>
      </w:r>
    </w:p>
    <w:p>
      <w:r>
        <w:t>Selon l'art. 50 al. 1 let. b LEtr, après dissolution de la famille, le conjoint étranger peut obtenir la prolongation de son autorisation de séjour si la poursuite de son séjour en Suisse s'impose pour des raisons personnelles majeures (cf. ATF 137 II 345 consid. 3.2.1). L'art. 50 al. 2 LEtr (cf. aussi art. 77 al. 2 OASA) précise qu'il existe de telles raisons notamment lorsque le conjoint est victime de violence conjugale et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6</w:t>
      </w:r>
    </w:p>
    <w:p>
      <w:r>
        <w:t>En l'occurrence, il convient également de tenir compte du droit au respect de la vie familiale, garanti par l'art. 8 CEDH, dont le recourant se prévaut expressément.</w:t>
      </w:r>
    </w:p>
    <w:p>
      <w:r>
        <w:rPr>
          <w:b/>
        </w:rPr>
        <w:t>E. 6.1</w:t>
      </w:r>
    </w:p>
    <w:p>
      <w:r>
        <w:t>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(arrêt du Tribunal fédéral 2C_327/2010 et 328/2010 du 19 mai 2011 consid. 4.1.2 et jurisprudence citée).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Un comportement est irréprochable s'il n'existe aucun motif en droit des étrangers d'éloigner ce parent ou de le maintenir à l'étranger, en d'autres termes, s'il ne s'est rendu coupable d'aucun comportement contraire au droit des étrangers ou réprimé par le droit pénal (cf. arrêt du Tribunal fédéral 2C_325/2010 du 11 octobre 2010 consid. 5.2.3). Il faut en outre considérer qu'il existe un lien affectif particulièrement fort lorsque le droit de visite est organisé de manière large et qu'il est exercé de manière régulière, spontanée et sans encombre (cf. arrêt du Tribunal fédéral 2C_723/2010 du 14 février 2011 consid. 5.2 et les références citées).</w:t>
      </w:r>
    </w:p>
    <w:p>
      <w:r>
        <w:rPr>
          <w:b/>
        </w:rPr>
        <w:t>E. 6.2</w:t>
      </w:r>
    </w:p>
    <w:p>
      <w:r>
        <w:t>In casu, le recourant se prévaut des relations qu'il entretient avec son fils C._______, né le 6 juillet 2009 et au bénéfice de la nationalité suisse. Le Tribunal constate à cet égard que depuis novembre 2010, le recourant dispose d'un droit de visite d'un weekend sur deux, du vendredi soir au dimanche soir, sur son fils C._______. Selon les indications du recourant, qui sont corroborées par une attestation délivrée par le Point Rencontre X._______ en date du 10 décembre 2012, A._______ exerce effectivement le droit de visite qui lui a été accordé et voit son fils de façon régulière. Par ailleurs, le prénommé est astreint au paiement d'une pension alimentaire en faveur des siens, actuellement d'un montant de Fr. 650.- par mois allocations familiales comprises, dont il s'acquitte régulièrement au vu des pièces versées au dossier par le recourant par pli du 18 décembre 2012. Cela étant, il ne faut pas perdre de vue que le recourant et son fils n'ont jamais partagé le même toit. En outre, le droit de visite de A._______ ne dépasse pas celui qui est usuellement instauré en cas de séparation ou divorce des parents (cf. l'arrêt du Tribunal administratif fédéral C-1631/2012 du 19 juillet 2012 consid. 6.1). Il s'agit en effet d'un standard minimal qui ne saurait être considéré comme un droit de visite large, exercé de manière régulière, spontanée et sans encombre. Selon la jurisprudence constante du Tribunal fédéral, l'exercice d'un droit de visite usuel ne saurait suffire pour admettre l'existence d'une relation affective particulièrement étroite (cf. à ce sujet l'arrêt du Tribunal administratif fédéral C-3374/2010 du 4 janvier 2012 consid. 8.4 et les références citées). Si, au vu des pièces du dossier, A._______ entretient effectivement une relation affective intacte avec son fils dont il assume économiquement une partie des besoins, celle-ci ne revêt en revanche pas une intensité comparable à celle vécue par un parent qui partage l'existence de son enfant au quotidien et elle ne dépasse pas le cadre de celle qui existe en général entre un père et son enfant, lorsque ceux-ci ne vivent pas sous le même toit. Le Tribunal ne saurait par conséquent retenir que les liens affectifs et économiques existant entre l'intéressé et son fils puissent être qualifiés de particulièrement forts. En considération de ce qui précède, l'on peut exiger du recourant qu'il exerce son droit de visite depuis l'étranger, en aménageant les modalités quant à la fréquence et à la durée (cf. consid. 6.1 in fine). Le retour du prénommé au Maroc n'entraînerait en outre pas de difficultés excessives quant à l'exercice de son droit de visite, puisqu'il pourra continuer à voir son fils lors de séjours ponctuels en Suisse voire au Maroc, les deux parents étant cousins germains et leurs familles respectives issues du même village au Maroc. A cela s'ajoute que les contacts entre A._______ et C._______ pourront également être maintenus par d'autres moyens tels que la communication téléphonique, les visioconférences et la correspondance (cf. à ce sujet l'arrêt du Tribunal fédéral 2C_1231/2012 du 20 décembre 2012 consid. 3.3 et l'arrêt du Tribunal administratif fédéral C-1651/2009 du 14 juin 2011 consid. 7.4.1). Le présence du fils du recourant en Suisse ne permet par conséquent pas de justifier la poursuite de son séjour dans ce pays.</w:t>
      </w:r>
    </w:p>
    <w:p>
      <w:r>
        <w:rPr>
          <w:b/>
        </w:rPr>
        <w:t>E. 6.3</w:t>
      </w:r>
    </w:p>
    <w:p>
      <w:r>
        <w:t>C'est également le lieu de rappeler ici que selon la jurisprudence du Tribunal fédéral, pour que l'on puisse déduire un droit à une autorisation de séjour fondé sur le respect de la vie privée prévu à l'art. 8 CEDH, des conditions strictes doivent être remplies, la personne concernée devant entretenir avec la Suisse des liens sociaux ou professionnels d'une intensité particulière, allant au-delà d'une intégration normale (cf. à ce sujet l'arrêt du Tribunal administratif fédéral C-5892/2011 du 21 mars 2012 consid. 4.2.3 et références citées). Or, l'intégration socioprofessionnelle de A._______ ne saurait être considérée comme exceptionnelle, comme exposé plus en détail au consid. 8.2 ci-avant et il ne saurait donc se prévaloir du droit au respect de la vie privée garanti à l'art. 8 CEDH pour prétendre à la prolongation de son autorisation de séjour en Suisse.</w:t>
      </w:r>
    </w:p>
    <w:p>
      <w:r>
        <w:rPr>
          <w:b/>
        </w:rPr>
        <w:t>E. 7</w:t>
      </w:r>
    </w:p>
    <w:p>
      <w:r>
        <w:t>Le recourant s'est également prévalu de l'art. 3 CDE, en alléguant que son éloignement du territoire suisse l'empêcherait de faire valoir ses droits et à exercer ses devoirs envers son fils et qu'il ne tiendrait pas compte de l'intérêt supérieur de son enfant. A ce propos, il importe de rappeler que la CDE n'accorde ni à l'enfant, ni à ses parents un droit à la réunion de la famille ou une prétention directe à l'obtention d'une autorisation de séjour (cf. ATF 135 I 153 consid. 2.2.2 in fine arrêt du Tribunal fédéral 2C_505/2009 du 29 mars 2010 consid. 5.2). En tout état de cause, force est d'admettre en l'occurrence qu'au vu de l'absence d'intensité particulière des relations affectives entre le recourant et son fils, il n'apparaît pas que la présence du recourant en Suisse représente une nécessité absolue au sens de l'art. 3 CDE.</w:t>
      </w:r>
    </w:p>
    <w:p>
      <w:r>
        <w:rPr>
          <w:b/>
        </w:rPr>
        <w:t>E. 8</w:t>
      </w:r>
    </w:p>
    <w:p>
      <w:r>
        <w:t>Le dossier ne fait par ailleurs par apparaître d'autres éléments pouvant constituer des raisons personnelles majeures au sens de l'art. 50 al. 1 let. b LEtr ou de l'art. 31 al. 1 OASA.</w:t>
      </w:r>
    </w:p>
    <w:p>
      <w:r>
        <w:rPr>
          <w:b/>
        </w:rPr>
        <w:t>E. 8.1</w:t>
      </w:r>
    </w:p>
    <w:p>
      <w:r>
        <w:t>S'agissant des possibilités de réintégration du recourant dans son pays d'origine, il convient de relever qu'il y a passé son enfance, son adolescence et les premières années da sa vie d'adulte, années qui apparaissent comme essentielles pour la formation de la personnalité et, partant, pour l'intégration sociale et culturelle. En outre, A._______ a conservé des attaches familiales importantes au Maroc, où vivent notamment ses parents, avec qui il a maintenu des contacts réguliers. Il a par ailleurs effectué divers séjours de visite dans son pays d'origine durant son séjour en Suisse (notamment en avril 2009 et en janvier 2010). Au vu de ce qui précède, le Tribunal estime que malgré la durée de son séjour en Suisse, le recourant ne s'est pas créé avec ce pays des attaches à ce point étroites qu'elles l'auraient rendu étranger à son pays d'origine. Dans ces circonstances, l'examen du dossier ne permet pas de retenir que la réintégration sociale du recourant dans son pays d'origine serait fortement compromise et que la poursuite de son séjour en Suisse s'imposerait pour des raisons personnelles majeures au sens de l'art. 50 al. 1 let. b LEtr.</w:t>
      </w:r>
    </w:p>
    <w:p>
      <w:r>
        <w:rPr>
          <w:b/>
        </w:rPr>
        <w:t>E. 8.2</w:t>
      </w:r>
    </w:p>
    <w:p>
      <w:r>
        <w:t>Quant aux motifs évoqués à l'art. 31 al. 1 OASA, le Tribunal de céans constate que le recourant travaille en tant que vendeur-caissier auxiliaire auprès du même employeur depuis février 2007, et ceci à l'entière satisfaction de ce dernier. Ce poste lui permet par ailleurs d'être financièrement autonome ainsi que de s'acquitter de la pension alimentaire due en faveur de son épouse et de son fils. Cela étant, l'intégration professionnelle du recourant ne revêt pas un caractère exceptionnel et l'intéressé n'a en outre pas connu une ascension professionnelle importante, ni démontré une volonté remarquable de se former. Il en va de même pour ce qui est de l'intégration socioculturelle de A._______. Si les lettres de soutien versées au dossier démontrent qu'il a tissé des liens non-négligeables en Suisse, il n'en demeure pas moins que son intégration sociale ne saurait être qualifiée d'exceptionnelle. Aucun élément du dossier ne permet en effet de penser que l'intéressé se serait spécialement investi dans la vie associative ou culturelle locale depuis son arrivée en Suisse. Partant, compte tenu de son âge, du fait qu'il ne résulte pas du dossier qu'il connaisse des problèmes de santé et de ce qui été exposé au sujet de son intégration et de sa situation familiale, il convient de constater que l'examen du cas à la lumière des critères de l'art. 31 al. 1 OASA ne permet pas non plus de conclure à l'existence de raisons personnelles majeures au sens de l'art. 50 al. 1 let b LEtr.</w:t>
      </w:r>
    </w:p>
    <w:p>
      <w:r>
        <w:rPr>
          <w:b/>
        </w:rPr>
        <w:t>E. 9</w:t>
      </w:r>
    </w:p>
    <w:p>
      <w:r>
        <w:t>En considération de ce qui précède, le Tribunal est amené à conclure que l'ODM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10</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A._______ n'a pas démontré l'existence d'obstacles à son retour au Maroc et le dossier ne fait pas non plus apparaître que l'exécution de ce renvoi serait impossible, illicite ou inexigible au sens de l'art. 83 al. 2 à 4 LEtr, de sorte que c'est à juste titre que l'ODM a ordonné l'exécution de cette mesure.</w:t>
      </w:r>
    </w:p>
    <w:p>
      <w:r>
        <w:rPr>
          <w:b/>
        </w:rPr>
        <w:t>E. 11</w:t>
      </w:r>
    </w:p>
    <w:p>
      <w:r>
        <w:t>Il ressort de ce qui précède que, par sa décision du 17 mai 2010, l'ODM n'a ni violé le droit fédéral, ni constaté des faits pertinents de manière inexacte ou incomplète; en outre, la décision attaquée n'est pas inopportune (cf. art. 49 PA). Le recours est en conséquence rejeté</w:t>
      </w:r>
    </w:p>
    <w:p>
      <w:r>
        <w:rPr>
          <w:b/>
        </w:rPr>
        <w:t>E. 12</w:t>
      </w:r>
    </w:p>
    <w:p>
      <w:r>
        <w:t>Par ordonnance du Tribunal de céans du 15 juillet 2010, le recourant a été mis au bénéfice de l'assistance judiciaire totale, si bien qu'il n'est pas perçu de frais de procédure. Maître Jean Lob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s'il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du recourant, le Tribunal considère que le versement d'un montant de Fr. 1'500.-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