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C-4463/2008 vom 29. April 2009</w:t>
      </w:r>
    </w:p>
    <w:p>
      <w:r>
        <w:t>Bundesverwaltungsgericht, 2009-04-29, DE</w:t>
      </w:r>
    </w:p>
    <w:p>
      <w:r>
        <w:rPr>
          <w:b/>
        </w:rPr>
        <w:t xml:space="preserve">Quelle: </w:t>
      </w:r>
      <w:r>
        <w:t>https://mcp.opencaselaw.ch/entscheid/bvger_C-4463_2008</w:t>
      </w:r>
    </w:p>
    <w:p>
      <w:r>
        <w:t>FR: TAF C-4463/2008 du 29 avril 2009</w:t>
      </w:r>
    </w:p>
    <w:p>
      <w:r>
        <w:t>IT: TAF C-4463/2008 del 29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Verfügung vom 1. November 2007 zur Beschwerde legitimiert (Art. 48 Abs. 1 VwVG). Auf die frist- und formgerecht eingereichte Beschwerde ist daher einzutreten (Art. 50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grundsätzlich das bisherige materielle Recht anwendbar (Art. 126 Abs. 1 AuG; BVGE 2008/1 E. 2; vgl. hingegen Art. 2 Abs. 4 und 5 AuG i.V.m. Anhang 1 Ziff. 1). Die angefochtene Verfügung erging vor dem Inkrafttreten des AuG; das entsprechende Verfahren wurde folglich vor diesem Zeitpunkt eingeleitet. Für die materielle Beurteilung der vorliegenden Beschwerde ist daher im Wesentlichen auf die altrechtliche Regelung, insbesondere auf Art. 13 Abs. 1 ANAG, abzustellen. Mit dem Beitritt von Bulgarien und Rumänien am 1. Januar 2007 hat die EU ihre fünfte Erweiterungsrunde abgeschlossen. Wie bereits bei den am 1. Mai 2004 beigetretenen Staaten macht auch die Ausdehnung des Abkommens vom 21. Juni 1999 zwischen der Schweizerischen Eidgenossenschaft einerseits und der Europäischen Gemeinschaft und ihrer Mitgliedsstaaten andererseits über die Freizügigkeit (FZA, SR 0.142.112.681) auf diese beiden Neumitglieder den Abschluss eines Protokolls zum FZA (Protokoll II) erforderlich. Das Schweizer Volk hat die Weiterführung des Abkommens nach 2009 und die Ausdehnung auf Bulgarien und Rumänien an der Volksabstimmung vom 8. Februar 2009 angenommen, die Umsetzung dieser Ausdehnung ist aber noch nicht abgeschlossen. Zum heutigen Zeitpunkt kann die Beschwerdeführerin deshalb aus dem FZA keine Rechte für sich ableiten.</w:t>
      </w:r>
    </w:p>
    <w:p>
      <w:r>
        <w:rPr>
          <w:b/>
        </w:rPr>
        <w:t>E. 4.1</w:t>
      </w:r>
    </w:p>
    <w:p>
      <w:r>
        <w:t>Gemäss Art. 13 Abs. 1 ANAG kann die eidgenössische Behörde über unerwünschte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ausländischen Person jeder Grenzübertritt ohne ausdrückliche Ermächtigung der verfügenden Behörde untersagt.</w:t>
      </w:r>
    </w:p>
    <w:p>
      <w:r>
        <w:rPr>
          <w:b/>
        </w:rPr>
        <w:t>E. 4.2</w:t>
      </w:r>
    </w:p>
    <w:p>
      <w:r>
        <w:t>Gestützt auf den Tatbestand von Art. 13 Abs. 1 Satz 2 ANAG kann eine Fernhaltemassnahme angeordnet werden, wenn die ausländische Person objektiv gegen fremdenpolizeiliche Vorschriften verstossen hat. Als grober Verstoss im Sinne dieser Norm ist eine Zuwiderhandlung - unabhängig vom Verschulden des Ausländers - immer dann zu qualifizieren, wenn sie zentrale, für das Funktionieren der fremdenpolizeilichen Ordnung wichtige Bereiche berührt (vgl. statt vieler Urteil des Bundesverwaltungsgerichts C-6231/2007 vom 7. November 2008 E. 5.2 mit Hinweisen). Nach ständiger Praxis werden dazu unter anderem der illegale Aufenthalt sowie die Missachtung der Meldepflicht gezählt (vgl. etwa Urteil des Bundesverwaltungsgerichts C-7543/2007 vom 18. März 2008 E. 5.2 mit Hinweisen).</w:t>
      </w:r>
    </w:p>
    <w:p>
      <w:r>
        <w:rPr>
          <w:b/>
        </w:rPr>
        <w:t>E. 5.1</w:t>
      </w:r>
    </w:p>
    <w:p>
      <w:r>
        <w:t>Eine ausländische Person ist zur Anwesenheit in der Schweiz berechtigt, wenn sie eine Aufenthalts- oder Niederlassungsbewilligung besitzt oder keiner solchen bedarf (Art. 1a ANAG). Ohne behördliche Bewilligung dürfen sich Ausländerinnen und Ausländer während der für sie geltenden Anmeldefrist in der Schweiz aufhalten, sofern sie rechtmässig eingereist sind (Art. 1 Abs. 1 der ehemaligen Vollziehungsverordnung vom 1. März 1949 zum ANAG [ANAV; AS 1949 I 228]).</w:t>
      </w:r>
    </w:p>
    <w:p>
      <w:r>
        <w:rPr>
          <w:b/>
        </w:rPr>
        <w:t>E. 5.2</w:t>
      </w:r>
    </w:p>
    <w:p>
      <w:r>
        <w:t>Die Anmeldefrist beträgt bei einem Aufenthalt ohne Erwerbstätigkeit grundsätzlich drei Monate. Erfolgt die Einreise zum Zwecke der Erwerbstätigkeit, hat sich die ausländische Person binnen acht Tagen, auf jeden Fall vor Antritt der Stelle, anzumelden (Art. 2 Abs. 1 ANAG). Als Erwerbstätigkeit gilt dabei jede normalerweise auf Erwerb gerichtete unselbständige oder selbständige Tätigkeit, selbst wenn sie unentgeltlich ausgeübt wird (Art. 6 Abs. 1 der Verordnung vom 6. Oktober 1986 über die Begrenzung der Zahl der Ausländer [BVO, AS 1986 1791]). Als Erwerbstätigkeit gelten auch Beschäftigungen, die stunden-, tageweise oder vorübergehend ausgeübt werden. (Art. 6 Abs. 2 Bst. c BVO).</w:t>
      </w:r>
    </w:p>
    <w:p>
      <w:r>
        <w:rPr>
          <w:b/>
        </w:rPr>
        <w:t>E. 5.3</w:t>
      </w:r>
    </w:p>
    <w:p>
      <w:r>
        <w:t>Die Beschwerdeführerin macht in ihrer Rechtsmitteleingabe geltend, sie sei bei ihrer Wohnsitznahme in St. Gallen einem Rechtsirrtum erlegen. Ihr Lebenspartner, ein österreichischer Staatsangehöriger, habe aus steuerrechtlichen Gründen einen Zweitwohnsitz in einem Drittland nehmen wollen und sei dafür in die Schweiz gezogen. Bei ihren Abklärungen betreffend Wohnsitznahme in der Schweiz habe ihnen der Liegenschaftsverwalter ihrer gemieteten Wohnung erklärt, eine Anmeldung sei nicht notwendig, wenn sie im Ausland einen festen Wohnsitz hätten. Da dies für sie und ihren Lebenspartner in Österreich zutreffe, hätten sie die Anmeldung in der Schweiz unterlassen. Zudem sei sie der Meinung gewesen, dass sich aufgrund des Beitritts Rumäniens zur Europäische Union (EU) die Wohnsitzbestimmungen geändert hätten, weshalb sie die Aussage ihres Liegenschaftsverwalters nicht weiter hinterfragt habe. Dass dies eine fahrlässige Unachtsamkeit gewesen sei und sie sich eingehender hätte informieren sollen, sei ihr jetzt klar. Angestellt sei sie während ihres Aufenthalts in der Schweiz im Geschäft ihres Lebenspartners in Österreich gewesen. Sie sei deshalb davon ausgegangen, dass sie rechtlich gesehen für das Geschäft in Österreich gearbeitet habe, selbst wenn sie teilweise in ihrer Wohnung in St. Gallen tätig gewesen sei.</w:t>
      </w:r>
    </w:p>
    <w:p>
      <w:r>
        <w:rPr>
          <w:b/>
        </w:rPr>
        <w:t>E. 5.4</w:t>
      </w:r>
    </w:p>
    <w:p>
      <w:r>
        <w:t>Für die Verhängung einer Einreisesperre ist kein vorsätzlicher Verstoss gegen fremdenpolizeiliche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Urteile des Bundesverwaltungsgerichts C-181/2006 vom 20. Februar 2008 E. 3.2 und C-102/2006 vom 16. November 2007 E. 4.2). Die Beschwerdeführerin ist zudem mit Bussenverfügung vom 21. Septem- ber 2007 des widerrechtlichen Aufenthalts in der Schweiz sowie des Stellenantritts ohne Bewilligung für schuldig befunden worden, was eine vorsätzliche Tatbegehung voraussetzt (vgl. Art. 333 Abs. 1 i.V.m. Art. 10 Abs. 3 und Art. 12 Abs. 1 des Schweizerischen Strafgesetzbuchs vom 21. Dezember 1937 [StGB, SR 311.0]). Zwar knüpft eine Einreisesperre nicht an die Erfüllung einer Strafnorm, sondern an das Vorliegen einer Polizeigefahr an. Ob eine solche besteht und wie sie zu gewichten ist, hat die Behörde in eigener Kompetenz unter Zugrundelegung spezifisch ausländerrechtlicher Kriterien zu beurteilen. Entsprechend ist sie in der Regel nicht gehalten, den rechtskräftigen Abschluss eines Strafverfahrens abzuwarten. Liegt jedoch im Zeitpunkt der Entscheidung über die Einreisesperre bereits ein rechtskräftiges Strafurteil vor, so soll die Behörde im Interesse der Rechtssicherheit und Rechtseinheit nicht ohne Not von den Feststellungen des Strafrichters in tatsächlicher Hinsicht abweichen. Dieser Grundsatz gilt auch für die rechtliche Qualifikation des Sachverhaltes, wenn sich für den Richter und die Behörde dieselbe Rechtsfrage stellt und ihre Beantwortung sehr stark von den Tatsachenfeststellungen abhängt (BGE 124 II 103 E. 1.c und d S. 106 f. und BGE 119 Ib 158 E. 3 S. 163 ff. zum Warnungsentzug im Strassenverkehrsrecht).</w:t>
      </w:r>
    </w:p>
    <w:p>
      <w:r>
        <w:rPr>
          <w:b/>
        </w:rPr>
        <w:t>E. 5.5</w:t>
      </w:r>
    </w:p>
    <w:p>
      <w:r>
        <w:t>Mit ihrem Verhalten hat der Beschwerdeführerin zweifellos gegen ausländerrechtliche Vorschriften verstossen, denen zentrale Bedeutung beizumessen ist. Sie hat grobe Zuwiderhandlungen im Sinne der gesetzlichen Terminologie begangen und damit den Fernhaltegrund von Art. 13 Abs. 1 Satz 2 ANAG gesetzt.</w:t>
      </w:r>
    </w:p>
    <w:p>
      <w:r>
        <w:rPr>
          <w:b/>
        </w:rPr>
        <w:t>E. 6.1</w:t>
      </w:r>
    </w:p>
    <w:p>
      <w:r>
        <w:t>Waren somit entsprechende Gründe zur Verhängung einer Fernhaltemassnahme gegeben, so bleibt zu prüfen, ob die Einreisesperre von ihrer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 Zürich/Basel/Genf 2006, Rz 613 ff.).</w:t>
      </w:r>
    </w:p>
    <w:p>
      <w:r>
        <w:rPr>
          <w:b/>
        </w:rPr>
        <w:t>E. 6.2</w:t>
      </w:r>
    </w:p>
    <w:p>
      <w:r>
        <w:t>Das öffentliche Interesse an einer uneingeschränkten Einhaltung der fremdenpolizeilichen Ordnung ist ganz allgemein hoch zu veranschlagen. Durch Missachtung von Vorschriften im Zusammenhang mit Einreise, Aufenthalt und Erwerbstätigkeit wird das ausländerrechtliche System in seinen zentralsten Bereichen in Frage gestellt. Die Einreisesperre wirkt hier einerseits generalpräventiv, indem sie andere Ausländerinnen und Ausländer angesichts der nachteiligen Folgen dazu anhält, sich an die Einreise- und Aufenthaltsvorschriften des Gastlandes zu halten. Andererseits ist eine spezialpräventive Zielsetzung der Massnahme darin zu sehen, dass sie die Betroffenen von der Begehung weiterer gleichartiger Regelverletzungen abhält und sie ermahnt, inskünftig den für sie geltenden Vorschriften nachzuleben. Eine konstante und konsequente Praxis der Verwaltungsbehörden ist unabdingbar, wenn es darum geht, der fremdenpolizeilichen Ordnung Nachachtung zu verschaffen (vgl. Urteil des Bundesverwaltungsgerichts C-76/2006 vom 20. Dezember 2007 E. 4.1).</w:t>
      </w:r>
    </w:p>
    <w:p>
      <w:r>
        <w:rPr>
          <w:b/>
        </w:rPr>
        <w:t>E. 6.3</w:t>
      </w:r>
    </w:p>
    <w:p>
      <w:r>
        <w:t>Wie dargelegt hat die Beschwerdeführerin ausländerrechtliche Bestimmungen verletzt. Das generalpräventiv motivierte öffentliche Interesse, die ausländerrechtliche Ordnung durch eine konsequente Massnahmenpraxis gegenüber fehlbaren Ausländerinnen und Ausländern zu schützen, ist gewichtig.</w:t>
      </w:r>
    </w:p>
    <w:p>
      <w:r>
        <w:rPr>
          <w:b/>
        </w:rPr>
        <w:t>E. 6.4</w:t>
      </w:r>
    </w:p>
    <w:p>
      <w:r>
        <w:t>Persönliche Interessen macht die Beschwerdeführerin insofern geltend, als sie angibt, sie betreibe seit Anfang 2008 eine Boutique für Kleidung in Dornbirn, Österreich, und sei im Rahmen dieser Tätigkeit auf die Schweiz als Transitland nach Italien angewiesen, wo sie Einkäufe vornehmen müsse. Bei Gelegenheit habe sie zudem vor, auch Einkäufe in der Schweiz zu tätigen. Diese von der Beschwerdeführerin geschilderten privaten Interessen sind jedoch geringer Natur und machen folglich ihre Anwesenheit in der Schweiz nicht zwingend notwendig.</w:t>
      </w:r>
    </w:p>
    <w:p>
      <w:r>
        <w:rPr>
          <w:b/>
        </w:rPr>
        <w:t>E. 6.5</w:t>
      </w:r>
    </w:p>
    <w:p>
      <w:r>
        <w:t>Vor diesem Hintergrund ist die Anordnung der Einreisesperre als solche nicht zu beanstanden und erweist sich deren Dauer von drei Jahren unter Berücksichtigung der Praxis in vergleichbaren Fällen als verhältnismässig und angemessen.</w:t>
      </w:r>
    </w:p>
    <w:p>
      <w:r>
        <w:rPr>
          <w:b/>
        </w:rPr>
        <w:t>E. 7</w:t>
      </w:r>
    </w:p>
    <w:p>
      <w:r>
        <w:t>Aus diesen Erwägungen ergibt sich, dass die angefochtene Verfügung Bundesrecht nicht verletzt, den rechtserheblichen Sachverhalt richtig und vollständig feststellt und auch angemessen ist (Art. 49 VwVG). Die Beschwerde ist daher abzuweisen.</w:t>
      </w:r>
    </w:p>
    <w:p>
      <w:r>
        <w:rPr>
          <w:b/>
        </w:rPr>
        <w:t>E. 8</w:t>
      </w:r>
    </w:p>
    <w:p>
      <w:r>
        <w:t>Entsprechend dem Ausgang des Verfahrens sind der Beschwerdeführerin die Kosten aufzuerlegen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