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C-4462/2010 vom 2. November 2010</w:t>
      </w:r>
    </w:p>
    <w:p>
      <w:r>
        <w:t>Bundesverwaltungsgericht, 2010-11-02, FR</w:t>
      </w:r>
    </w:p>
    <w:p>
      <w:r>
        <w:rPr>
          <w:b/>
        </w:rPr>
        <w:t xml:space="preserve">Quelle: </w:t>
      </w:r>
      <w:r>
        <w:t>https://mcp.opencaselaw.ch/entscheid/bvger_C-4462_2010</w:t>
      </w:r>
    </w:p>
    <w:p>
      <w:r>
        <w:t>FR: TAF C-4462/2010 du 2 novembre 2010</w:t>
      </w:r>
    </w:p>
    <w:p>
      <w:r>
        <w:t>IT: TAF C-4462/2010 del 2 novembre 2010</w:t>
      </w:r>
    </w:p>
    <w:p>
      <w:pPr>
        <w:pStyle w:val="Heading2"/>
      </w:pPr>
      <w:r>
        <w:t>Regeste</w:t>
      </w:r>
    </w:p>
    <w:p>
      <w:r>
        <w:t>Personnes relevant du domaine de l'asile</w:t>
      </w:r>
    </w:p>
    <w:p>
      <w:pPr>
        <w:pStyle w:val="Heading2"/>
      </w:pPr>
      <w:r>
        <w:t>Erwägungen</w:t>
      </w:r>
    </w:p>
    <w:p>
      <w:r>
        <w:rPr>
          <w:b/>
        </w:rPr>
        <w:t>E. 1</w:t>
      </w:r>
    </w:p>
    <w:p>
      <w:r>
        <w:t>A titre préliminaire, le Tribunal relève, comme indiqué dans sa décision incidente du 28 juin 2010, que c'est à tort que la requête du 7 avril 2010 a fait l'objet, en tant que "demande de reconsidération", d'une décision de la part de l'ODM et qu'il convient d'examiner la présente cause sous l'angle de la révision. En effet, le requérant n'a fait valoir aucun fait nouveau à l'appui de ladite demande, s'étant limité à invoquer les mêmes arguments que ceux examinés par le Tribunal dans son arrêt du 5 janvier 2010.</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Le Tribunal est compétent pour statuer sur une demande de révision dirigée contre un de ses propres arrêts (art. 45 LTAF). Les dispositions de de la loi du 17 juin 2005 sur le Tribunal fédéral (LTF, RS 173.110) régissant la révision, et en particulier les art. 121 à 123 LTF qui en prévoient les motifs, s'appliquent par analogie à la révision des arrêts du Tribunal administratif fédéral (cf. art 45 LTAF).</w:t>
      </w:r>
    </w:p>
    <w:p>
      <w:r>
        <w:rPr>
          <w:b/>
        </w:rPr>
        <w:t>E. 1.3</w:t>
      </w:r>
    </w:p>
    <w:p>
      <w:r>
        <w:t>Ayant fait l'objet de l'arrêt du 5 janvier 2010 mis en cause par la demande de révision du 7 avril 2010, le demandeur a qualité pour agir. Présentée dans la forme (cf. art. 67 al. 3 PA, applicable par renvoi de l'art. 47 LTAF) et les délais prescrits pas la loi (cf. art. 124 LTF), ladite demande est recevable.</w:t>
      </w:r>
    </w:p>
    <w:p>
      <w:r>
        <w:rPr>
          <w:b/>
        </w:rPr>
        <w:t>E. 2.1</w:t>
      </w:r>
    </w:p>
    <w:p>
      <w:r>
        <w:t>Une demande de révision, en tant que moyen juridictionnel extraordinaire susceptible d'être exercé contre un arrêt doué de force de chose jugée, n'est recevable qu'à de strictes conditions. La révision d'un arrêt peut notamment être demandé si le tribunal n'a pas statué sur certaines conclusions ou si, par inadvertance, il n'a pas pris en considération des faits pertinents qui ressortent du dossier (cf. art. 121 let. c et d LTF). 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preuves qui existaient déjà à la date de l'arrêt rendu sur recours, mais qui n'étaient, à cette époque, pas connus du requérant (cf. notamment: KARL SPÜLER/ ANNETTE DOLGE/ DOMINIK VOCK, in Kurzkommentar zum Bundesgerichtsgesetz, Zürich/St. Gallen 2006, p. 228 s.; ATF 134 IV 48 consid. 1.2).</w:t>
      </w:r>
    </w:p>
    <w:p>
      <w:r>
        <w:rPr>
          <w:b/>
        </w:rPr>
        <w:t>E. 2.2</w:t>
      </w:r>
    </w:p>
    <w:p>
      <w:r>
        <w:t>Les motifs de révision, qui sont énoncés de manière exhaustive par la loi, doivent être prouvés par le demandeur et non pas seulement être rendus vraisemblables (cf. URSINA BEERLI-BONORAND, Die ausser-ordentlichen Rechtsmittel in der Verwaltungsrechtspflege des Bundes und der Kantone, Zürich 1985, p. 94). La demande de révision ne permet pas de supprimer une erreur de droit, de bénéficier d'une nouvelle interprétation ou d'une nouvelle pratique, d'obtenir une nouvelle appréciation de faits connus lors de la décision dont la révision est demandée (cf. ATF 98 Ia 568 consid. 5b; Elisabeth Escher, in Basler Kommentar, Bundesgerichtsgesetz, Bâle 2008, n. 7 et 8 ad art. 123 LTF) ou de faire valoir des faits ou moyens de preuve qui auraient pu et dû être invoqués dans la procédure ordinaire (cf. art. 123 al. 2 let. a LTF; ATF 111 Ib 209 consid. 1).</w:t>
      </w:r>
    </w:p>
    <w:p>
      <w:r>
        <w:rPr>
          <w:b/>
        </w:rPr>
        <w:t>E. 3</w:t>
      </w:r>
    </w:p>
    <w:p>
      <w:r>
        <w:t>Dans son arrêt du 5 janvier 2010 (C-873/2008), le Tribunal de céans, après avoir procédé à un examen détaillé de la situation de A._______ et sa famille, a considéré que la décision de l'ODM refusant d'approuver l'octroi d'une autorisation de séjour fondée sur l'art. 14 al. 2 LAsi était parfaitement fondée. Il a relevé, en particulier, que le comportement du prénommé durant son séjour en Suisse n'était pas exempt de tout reproche et que les intéressés possédaient encore des attaches socio-culturelles étroites et profondes avec la Macédoine. Aussi le Tribunal est-il arrivé à la conclusion que les intéressés ne pouvaient pas se prévaloir d'un niveau d'intégration particulièrement poussée et que ceux-ci ne remplissaient donc pas les conditions mises à la reconnaissance d'un cas de rigueur au sens de la disposition légale précitée.</w:t>
      </w:r>
    </w:p>
    <w:p>
      <w:r>
        <w:rPr>
          <w:b/>
        </w:rPr>
        <w:t>E. 3.1</w:t>
      </w:r>
    </w:p>
    <w:p>
      <w:r>
        <w:t>A l'appui de sa demande du 7 avril 2010, A._______ fait valoir essentiellement que sa famille parle couramment le français et qu'elle peut compter sur un important soutien au sein de la population locale, dès lors qu'une pétition lancée en sa faveur a recueilli de nombreuses signatures. Par ailleurs, le requérant expose qu'il travaille durement pour assurer l'autonomie financière de sa famille et que ses enfants sont régulièrement scolarisés dans le canton de Vaud. Enfin, il exprime ses regrets quant aux infractions commises durant son séjour en Suisse.</w:t>
      </w:r>
    </w:p>
    <w:p>
      <w:r>
        <w:rPr>
          <w:b/>
        </w:rPr>
        <w:t>E. 3.2</w:t>
      </w:r>
    </w:p>
    <w:p>
      <w:r>
        <w:t>Force est de constater que les éléments mis en avant par A._______ dans la demande de révision ont fait l'objet d'un examen détaillé dans le cadre de la procédure de recours ordinaire et que le contenu de cette demande n'est pas de nature à modifier l'analyse faite par le Tribunal dans son arrêt du 5 janvier 2010. En outre, le prénommé n'a pas été en mesure de démontrer que le Tribunal, par inadvertance, n'aurait pas tenu compte dans son arrêt des faits pertinents qui ressortaient du dossier. Les moyens invoqués dans la requête du 7 avril 2010 ne peuvent en conséquence pas être retenus dans le cadre de l'art. 121 let. d LTF.</w:t>
      </w:r>
    </w:p>
    <w:p>
      <w:r>
        <w:rPr>
          <w:b/>
        </w:rPr>
        <w:t>E. 3.3</w:t>
      </w:r>
    </w:p>
    <w:p>
      <w:r>
        <w:t>Le requérant ne fait valoir au demeurant aucun motif constituant un pseudo-nova tel que mentionné plus haut (cf. consid. 2.1 in fine), le motif tiré de la récolte de signatures en faveur de sa famille ne pouvant pas être considéré comme tel. En effet, force est de constater que ladite pétition, bien que déposée postérieurement à l'arrêt du 10 janvier 2010, se rapporte à des éléments (durée du séjour en Suisse, bonne intégration à Aigle, autonomie financière de la famille, scolarisation des enfants) qui ont déjà été pris en considération par le Tribunal dans son arrêt. A titre superfétatoire, le Tribunal observe que si la pétition de soutien dont se prévaut l'intéressé confirme certes que sa famille est socialement bien intégrée dans le canton de Vaud, cette circonstance ne saurait pour autant justifier l'octroi d'une autorisation de séjour fondée sur un cas de rigueur. En effet, la jurisprudence du Tribunal fédéral considère que les relations d'amitié, de travail ou de voisinage que les intéressés ont pu nouer sont insuffisantes à cette fin (cf. notamment arrêt du Tribunal fédéral 2A.432/2003 du 1er octobre 2003 consid. 2.1 et jurisprudence citée). Au demeurant, les pétitions qui sont adressées à des tribunaux en rapport avec une affaire judiciaire déterminée ne sont pas recevables (cf. ATF 119 Ia 53 consid. 4).</w:t>
      </w:r>
    </w:p>
    <w:p>
      <w:r>
        <w:rPr>
          <w:b/>
        </w:rPr>
        <w:t>E. 3.4</w:t>
      </w:r>
    </w:p>
    <w:p>
      <w:r>
        <w:t>Dans ces conditions, la demande de révision, en tant qu'elle repose sur les moyens invoqués en cause, ne peut qu'être rejetée.</w:t>
      </w:r>
    </w:p>
    <w:p>
      <w:r>
        <w:rPr>
          <w:b/>
        </w:rPr>
        <w:t>E. 4</w:t>
      </w:r>
    </w:p>
    <w:p>
      <w:r>
        <w:t>Dans la mesure où il s'avère que la demande de révision est manifestement infondée, il n'y a pas lieu de procéder à un échange d'écritures avec l'autorité inférieure (cf. art. 127 LTF).</w:t>
      </w:r>
    </w:p>
    <w:p>
      <w:r>
        <w:rPr>
          <w:b/>
        </w:rPr>
        <w:t>E. 5</w:t>
      </w:r>
    </w:p>
    <w:p>
      <w:r>
        <w:t>Cela étant, vu l'issue de la cause, il y a lieu de mettre les frais de procédure à la charge du requérant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