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C-4460/2010 vom 13. November 2012</w:t>
      </w:r>
    </w:p>
    <w:p>
      <w:r>
        <w:t>Bundesverwaltungsgericht, 2012-11-13, DE</w:t>
      </w:r>
    </w:p>
    <w:p>
      <w:r>
        <w:rPr>
          <w:b/>
        </w:rPr>
        <w:t xml:space="preserve">Quelle: </w:t>
      </w:r>
      <w:r>
        <w:t>https://mcp.opencaselaw.ch/entscheid/bvger_C-4460_2010</w:t>
      </w:r>
    </w:p>
    <w:p>
      <w:r>
        <w:t>FR: TAF C-4460/2010 du 13 novembre 2012</w:t>
      </w:r>
    </w:p>
    <w:p>
      <w:r>
        <w:t>IT: TAF C-4460/2010 del 13 novembre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Der Beschwerdeführer rügt eine Verletzung des rechtlichen Gehörs, indem er vor Erlass der angefochtenen Verfügung nicht angehört worden sei (Verfügung sei ihm bei der Ausreise "in die Hand gedrückt" worden).</w:t>
      </w:r>
    </w:p>
    <w:p>
      <w:r>
        <w:rPr>
          <w:b/>
        </w:rPr>
        <w:t>E. 3.2</w:t>
      </w:r>
    </w:p>
    <w:p>
      <w:r>
        <w:t>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6. vollständig überarbeitete Aufl., Zürich / St. Gallen 2010, Rz. 1672 ff.; Alfred Kölz/Isabelle Häner, Verwaltungsverfahren und Verwaltungsrechtspflege des Bundes, 2. Aufl., Zürich 1998, Rz. 129 ff. und 292 ff.; Jörg Paul Müller/Markus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w:t>
      </w:r>
    </w:p>
    <w:p>
      <w:r>
        <w:rPr>
          <w:b/>
        </w:rPr>
        <w:t>E. 3.3</w:t>
      </w:r>
    </w:p>
    <w:p>
      <w:r>
        <w:t>Die Migrationsbehörde des Kantons Basel-Landschaft informierte den Beschwerdeführer am 11. Mai 2010 über ihre Absicht, beim BFM den Erlass einer Fernhaltemassnahme zu beantragen und gab ihm die Möglichkeit zur Stellungnahme. Der Beschwerdeführer machte davon Gebrauch und gab an, dass er Bekannte in der Schweiz habe und daher kein Einreiseverbot möchte. Dass ihm das rechtliche Gehör nicht durch die verfügende Behörde selbst gewährt wurde, ist nicht von Belang (vgl. Bernhard Waldmann/Jürg Bickel in: Bernhard Waldmann/Philippe Weissenberger, Praxiskommentar VwVG, Zürich 2009, Art. 30 N 16 und N 34, Urteil des Bundesverwaltungsgerichts C 6455/2009 vom 2. Februar 2010 E. 4.1 mit weiteren Hinweisen). Die diesbezügliche Rüge erweist sich somit als unbegründet.</w:t>
      </w:r>
    </w:p>
    <w:p>
      <w:r>
        <w:rPr>
          <w:b/>
        </w:rPr>
        <w:t>E. 4.1</w:t>
      </w:r>
    </w:p>
    <w:p>
      <w:r>
        <w:t>In formeller Hinsicht wird weiter gerügt, die angefochtene Verfügung sei ungenügend begründet (Aufzählung der Delikte in Stichworten, fehlende Abklärung der persönlichen Situation, keine sorgfältige Interessenabwägung). 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133 III 439 E. 3.3 S. 445 mit weiteren Hinweisen; vgl. auch BVGE 2007/27 E. 5.5.2 mit Hinweisen, sowie Lorenz Kneubühler, in: Christoph Auer/Markus Müller/Benjamin Schindler [Hrsg.], Kommentar zum Bundesgesetz über das Verwaltungsverfahren [VwVG], Zürich/St. Gallen 2008, Rz. 4 ff. und insb. 9 ff. zu Art. 35 VwVG). Eine Verletzung des Gehörsanspruchs führt grundsätzlich zur Aufhebung der angefochtenen Verfügung und Rückweisung der Sache an die Vorinstanz. Im Falle der Verletzung der Begründungspflicht kann der Mangel auf Rechtsmittelebene jedoch geheilt werden, wenn die Vorinstanz die Entscheidsgründe in einer den gesetzlichen Anforderungen genügenden Weise darlegt und die Rechtsmittelinstanz der betroffenen Partei im Rahmen eines zweiten Schriftenwechsels die Möglichkeit einräumt, sich dazu zu äussern (vgl. Lorenz Kneubühler, a.a.O., Rz. 19 ff. zu Art. 35 mit Hinweisen).</w:t>
      </w:r>
    </w:p>
    <w:p>
      <w:r>
        <w:rPr>
          <w:b/>
        </w:rPr>
        <w:t>E. 4.2</w:t>
      </w:r>
    </w:p>
    <w:p>
      <w:r>
        <w:t>Die Begründung der angefochtenen Verfügung ist in der Tat knapp ausgefallen und ziemlich summarisch gehalten. Es geht daraus aber ohne weiteres hervor, aus welchen Gründen die Vorinstanz ein fünfjähriges Einreiseverbot erliess. Dass die Vorinstanz dabei die Delikte (gewerbsmässiger Betrug, Diebstahl, mehrfache Sachbeschädigung), die aus ihrer Sicht einen Verstoss bzw. eine Gefährdung der öffentlichen Sicherheit und Ordnung darstellen, lediglich aufzählte, erweist sich als ausreichend. Schliesslich sind dem Beschwerdeführer der Zeitpunkt der von ihm verübten Straftaten und das entsprechende Urteil aus dem Strafverfahren hinlänglich bekannt. Die zur Anwendung kommende Rechtsgrundlage (Art. 67 Abs. 1 Bst. a der damaligen Fassung des AuG) ist in der Verfügung ebenfalls aufgeführt. Der Beschwerdeführer war denn auch auf der Grundlage dieser Begründung durchaus in der Lage, die Verfügung sachgerecht anzufechten. Ferner hat die Vorinstanz im Rahmen ihrer Vernehmlassung explizit auf die geltend gemachte Gehbehinderung des Beschwerdeführers Bezug genommen und ihn auf die Möglichkeit hingewiesen, mittels begründetem Gesuch die zeitweilige Suspension der angeordneten Fernhaltemassnahme zu beantragen. Ausserdem konnte dieser im Rahmen des ihm gewährten Replikrechts seinen Standpunkt nochmals erläutern. Die erhobene Rüge der Gehörsverletzung erweist sich auch unter diesem Gesichtspunkt als unbegründet.</w:t>
      </w:r>
    </w:p>
    <w:p>
      <w:r>
        <w:rPr>
          <w:b/>
        </w:rPr>
        <w:t>E. 5.1</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Einzelfallweise bestehen weitere Lockerungsmöglichkeiten (bezogen auf Einreisen in die Schweiz siehe beispielsweise die Möglichkeit der Suspension des Einreiseverbots gemäss Art. 67 Abs. 5 AuG).</w:t>
      </w:r>
    </w:p>
    <w:p>
      <w:r>
        <w:rPr>
          <w:b/>
        </w:rPr>
        <w:t>E. 6.1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der Dauer von Fernhaltemassnahmen ist mit den obgenannten Grundsätzen vereinbar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8896]) weswegen sich für den Beschwerdeführer im Ergebnis nichts ändert (Urteil des Bundesverwaltungsgerichts C-3304/2009 vom 18. Januar 2012 E. 5.1 mit Hinweis).</w:t>
      </w:r>
    </w:p>
    <w:p>
      <w:r>
        <w:rPr>
          <w:b/>
        </w:rPr>
        <w:t>E. 6.2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w:t>
      </w:r>
    </w:p>
    <w:p>
      <w:r>
        <w:rPr>
          <w:b/>
        </w:rPr>
        <w:t>E. 6.3</w:t>
      </w:r>
    </w:p>
    <w:p>
      <w:r>
        <w:t>Der Beschwerdeführer wurde wegen gewerbsmässigen Diebstahls, mehrfacher Sachbeschädigung, mehrfachen Hausfriedensbruchs sowie Verstosses gegen das Ausländergesetz (Missachtung einer Einreisesperre bzw. illegale Einreise und illegaler Aufenthalt) zu einer unbedingten Freiheitsstrafe von zwei Jahren verurteilt. Wie aus den kantonalen Akten hervorgeht beträgt die Deliktsumme aus den vom Beschwerdeführer begangenen Einbruchdiebstählen mehrere zehntausend und der dabei entstandene Sachschaden rund zehntausend Franken. Mit einer Delinquenz dieser Art hat sich der Fernhaltegrund einer Verletzung der öffentlichen Sicherheit und Ordnung gemäss Art. 67 Abs. 1 Bst. a AuG in der Fassung vom 1. Januar 2008 bzw. Art. 67 Abs. 2 Bst. a AuG in der Fassung vom 1. Januar 2011 zweifellos verwirklicht.</w:t>
      </w:r>
    </w:p>
    <w:p>
      <w:r>
        <w:rPr>
          <w:b/>
        </w:rPr>
        <w:t>E. 7</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w:t>
      </w:r>
    </w:p>
    <w:p>
      <w:r>
        <w:rPr>
          <w:b/>
        </w:rPr>
        <w:t>E. 7.1</w:t>
      </w:r>
    </w:p>
    <w:p>
      <w:r>
        <w:t>Das öffentliche Interesse an einer Fernhaltung des Beschwerdeführers ist schon aus präventiv-polizeilicher Sicht als gewichtig einzustufen. Ausländische Personen, die - wie der Beschwerdeführer - nur mit der Absicht in die Schweiz einreisen bzw. sich hier aufhalten, um Einbruchdiebstähle zu begehen, sind nach Möglichkeit von der Schweiz fernzuhalten. Es gilt durch eine kontinuierliche und strenge Verwaltungspraxis zu verdeutlichen, dass eine solche Delinquenz mit Fernhaltemassnahmen von gewisser Dauer geahndet wird. Der Schutz der öffentlichen Sicherheit und Ordnung ist dabei durch Abschreckung nicht nur des jeweiligen Straftäters, sondern auch anderer potenzieller Rechtsbrecher weitest möglich zu gewährleisten. Das massnahmeauslösende Fehlverhalten ist aber auch in subjektiver Hinsicht nicht zu bagatellisieren. So liess er sich vom Strafurteil des Bezirksgerichts Meilen vom 21. Februar 2007 und von der gegen ihn am 9. März 2007 verhängten Einreisesperre nicht abhalten, erneut in die Schweiz zu reisen und noch während der ihm vom Bezirksgericht auferlegten Probezeit Einbruchdiebstähle zu begehen. Der Beschwerdeführer hat sich demnach bewusst über die geltende Rechtsordnung hinweggesetzt, weshalb dem öffentlichen Interesse an einer zeitlich befristeten Fernhaltung grosses Gewicht beizumessen ist.</w:t>
      </w:r>
    </w:p>
    <w:p>
      <w:r>
        <w:rPr>
          <w:b/>
        </w:rPr>
        <w:t>E. 7.2</w:t>
      </w:r>
    </w:p>
    <w:p>
      <w:r>
        <w:t>Wohl trifft es zu, dass es dem Beschwerdeführer aufgrund seiner Gehbehinderung in Zukunft nicht mehr möglich sein werde, jeweils über Fenster und Balkone in Wohnungen einzusteigen und auf diese Weise Einbruchdiebstähle zu begehen. Wie die Vorinstanz in ihrer Vernehmlassung zutreffend festhielt, sagt die körperliche Behinderung des Beschwerdeführers nichts über seine kriminelle Energie aus. Zudem ist trotz körperlicher Behinderung auch eine andere Beteiligung des Beschwerdeführers an derartigen Delikten - beispielsweise als Mittäter - nicht ausgeschlossen. Im Übrigen hat die Vorinstanz diesem Umstand mit der lediglich auf fünf Jahre befristeten Anschlusssperre in genügender Weise Rechnung getragen. Gerade weil es sich beim Beschwerdeführer um einen Wiederholungstäter handelt, hat er sich zunächst über eine längere Zeitspanne im Ausland wohlzuverhalten, weshalb auch eine Reduktion der Dauer der Fernhaltemassnahme auf zwei Jahre wegen seiner Gehbehinderung nicht angezeigt ist.</w:t>
      </w:r>
    </w:p>
    <w:p>
      <w:r>
        <w:rPr>
          <w:b/>
        </w:rPr>
        <w:t>E. 7.3</w:t>
      </w:r>
    </w:p>
    <w:p>
      <w:r>
        <w:t>Als persönliches Interesse an Einreisen in die Schweiz oder in den Schengenraum macht der Beschwerdeführer insbesondere die Notwendigkeit weiterer medizinischer Eingriffe geltend, die in Serbien nicht durchgeführt werden könnten. Zwar ist es ihm aufgrund der Ausschreibung des Einreiseverbots im SIS tatsächlich untersagt, den Schengenraum zu betreten. Der darin liegende Eingriff ist aber durch die Bedeutung des Falles gerechtfertigt (vgl. Art. 96 Abs. 2 Bst. a SDÜ). Diese Feststellung gilt umso mehr, als die Schweiz im Geltungsbereich des Schengen-Rechts nicht nur die eigenen Interessen zu wahren hat, sondern im Sinne einer getreuen Sachwalterin die Interessen der Gesamtheit aller Schengen-Staaten (Urteil des Bundesverwaltungsgerichts C-6364/2009 vom 6. Juni 2011 E. 6.1). Im Übrigen wird die Ausschreibung eines Einreiseverbots im SIS periodisch auf seine Berechtigung überprüft (Art. 112 Abs. 1 SDÜ) und hindert einen Schengen-Staat nicht daran, der ausgeschriebenen Person die Einreise in das eigene Hoheitsgebiet aus humanitären Gründen, Gründen des nationalen Interesses oder aufgrund völkerrechtlicher Verpflichtungen zu gestatten (Art. 5 Abs. 4 Bst. d SGK). Daneben besteht für den Beschwerdeführer - wie bereits erwähnt (vgl. Erwägung 5.2 vorstehend) - die Möglichkeit zur Einreichung eines begründetes Gesuchs um eine zeitlich befristete Aufhebung des Einreiseverbots (Suspension), falls die Einreise in Schweiz für einen medizinischen Eingriff notwendig sein sollte.</w:t>
      </w:r>
    </w:p>
    <w:p>
      <w:r>
        <w:rPr>
          <w:b/>
        </w:rPr>
        <w:t>E. 7.4</w:t>
      </w:r>
    </w:p>
    <w:p>
      <w:r>
        <w:t>Weitere persönliche Interessen an Einreisen in die Schweiz werden in der Beschwerde nicht vorgebracht. Vor dem Erlass des Einreiseverbots erwähnte der Beschwerdeführer zwar noch hier lebende Bekannte, ohne jedoch zu erwähnen, um wen es sich dabei handelt und welcher Art seine Beziehung zu diesen Bekannten ist. Zieht man in Betracht, dass er nur in der Schweiz war, um zu delinquieren und sein sonstiger Aufenthalt sich auf die in Untersuchungshaft und im Strafvollzug verbrachte Zeit beschränkte, können diese Bekannten nur aus diesem Umfeld stammen. Die einzige Person, die in den Akten namentlich aufgeführt ist (vgl. Einvernahmeprotokoll der Kantonspolizei Zürich vom 18. November 2006 S. 3 f.), ist eine gewisser C._______, der den Beschwerdeführer mit den Einbrüchen beauftragt haben soll. Es besteht demnach ein öffentliches Interesse, dass er gerade zu solchen Bekannten keine Beziehungen mehr unterhält.</w:t>
      </w:r>
    </w:p>
    <w:p>
      <w:r>
        <w:rPr>
          <w:b/>
        </w:rPr>
        <w:t>E. 8</w:t>
      </w:r>
    </w:p>
    <w:p>
      <w:r>
        <w:t>Eine wertende Gewichtung der sich gegenüberstehenden Interessen führt das Bundesverwaltungsgericht daher zum Schluss, dass das am 12. Mai 2010 mit Wirkung ab 9. März 2012 verhängte Einreiseverbot (Anschlusssperre) sowohl vom Grundsatz her wie auch in der ausgesprochenen Dauer eine verhältnismässige und angemessene Massnahme zum Schutz der öffentlichen Sicherheit und Ordnung darstellt.</w:t>
      </w:r>
    </w:p>
    <w:p>
      <w:r>
        <w:rPr>
          <w:b/>
        </w:rPr>
        <w:t>E. 9</w:t>
      </w:r>
    </w:p>
    <w:p>
      <w:r>
        <w:t>Aus diesen Erwägungen ergibt sich, dass die angefochtene Verfügung im Lichte von Art. 49 VwVG nicht zu beanstanden ist. Die Beschwerde ist demzufolge abzuweisen.</w:t>
      </w:r>
    </w:p>
    <w:p>
      <w:r>
        <w:rPr>
          <w:b/>
        </w:rPr>
        <w:t>E. 10</w:t>
      </w:r>
    </w:p>
    <w:p>
      <w:r>
        <w:t>Entsprechend dem Ausgang des Verfahrens wird der unterliegende Beschwerdeführer kostenpflichtig. (vgl. Art. 63 Abs. 1 VwVG,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