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C-4449/2020 vom 16. September 2020</w:t>
      </w:r>
    </w:p>
    <w:p>
      <w:r>
        <w:t>Bundesverwaltungsgericht, 2020-09-16, DE</w:t>
      </w:r>
    </w:p>
    <w:p>
      <w:r>
        <w:rPr>
          <w:b/>
        </w:rPr>
        <w:t xml:space="preserve">Quelle: </w:t>
      </w:r>
      <w:r>
        <w:t>https://mcp.opencaselaw.ch/entscheid/bvger_C-4449_2020</w:t>
      </w:r>
    </w:p>
    <w:p>
      <w:r>
        <w:t>FR: TAF C-4449/2020 du 16 septembre 2020</w:t>
      </w:r>
    </w:p>
    <w:p>
      <w:r>
        <w:t>IT: TAF C-4449/2020 del 16 settembre 2020</w:t>
      </w:r>
    </w:p>
    <w:p>
      <w:pPr>
        <w:pStyle w:val="Heading2"/>
      </w:pPr>
      <w:r>
        <w:t>Regeste</w:t>
      </w:r>
    </w:p>
    <w:p>
      <w:r>
        <w:t>Sozialversicherung AT</w:t>
      </w:r>
    </w:p>
    <w:p>
      <w:pPr>
        <w:pStyle w:val="Heading2"/>
      </w:pPr>
      <w:r>
        <w:t>Erwägungen</w:t>
      </w:r>
    </w:p>
    <w:p>
      <w:r>
        <w:rPr>
          <w:b/>
        </w:rPr>
        <w:t>E. 1</w:t>
      </w:r>
    </w:p>
    <w:p>
      <w:r>
        <w:t>Das Bundesverwaltungsgericht prüft seine Zuständigkeit gemäss Art. 7 Abs. 1 VwVG von Amtes wegen. Vorab ist die hier massgebende Gesetzgebung darzulegen.</w:t>
      </w:r>
    </w:p>
    <w:p>
      <w:r>
        <w:rPr>
          <w:b/>
        </w:rPr>
        <w:t>E. 1.1</w:t>
      </w:r>
    </w:p>
    <w:p>
      <w:r>
        <w:t>Gemäss Art. 31 in Verbindung mit Art. 33 Bst. i VGG beurteilt das Bundesverwaltungsgericht Beschwerden gegen Verfügungen kantonaler Instanzen, soweit ein Bundesgesetz gegen ihre Verfügungen die Beschwerde an das Bundesverwaltungsgericht vorsieht. Die Beschwerde ans Bundesverwaltungsgericht ist unzulässig gegen Verfügungen, die nach einem anderen Bundesgesetz durch Beschwerde an eine kantonale Behörde anfechtbar sind (Art. 32 Abs. 2 Bst. b VGG).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ATSG (SR 830.1) vorbehalten. Gemäss Art. 2 ATSG sind die Bestimmungen dieses Gesetzes auf die bundesgesetzlich geregelten Sozialversicherungen anwendbar, wenn und soweit die einzelnen Sozialversicherungsgesetze es vorsehen. Dies trifft für Verfahren über Ergänzungsleistungen zu (vgl. Art. 1 Abs. 1 ELG [SR 831.30]).</w:t>
      </w:r>
    </w:p>
    <w:p>
      <w:r>
        <w:rPr>
          <w:b/>
        </w:rPr>
        <w:t>E. 1.3.1</w:t>
      </w:r>
    </w:p>
    <w:p>
      <w:r>
        <w:t>Gemäss Art. 52 Abs. 1 ATSG kann gegen Verfügungen innerhalb von 30 Tagen bei der verfügenden Stelle Einsprache erhoben werden.</w:t>
      </w:r>
    </w:p>
    <w:p>
      <w:r>
        <w:rPr>
          <w:b/>
        </w:rPr>
        <w:t>E. 1.3.2</w:t>
      </w:r>
    </w:p>
    <w:p>
      <w:r>
        <w:t>Gegen Einspracheentscheide oder Verfügungen, gegen welche eine Einsprache ausgeschlossen ist, kann Beschwerde erhoben werden. Jeder Kanton bestellt ein Versicherungsgericht als einzige Instanz zur Beurteilung von Beschwerden aus dem Bereich der Sozialversicherung (Art. 56 und 57 ATSG). Zuständig ist das Versicherungsgericht desjenigen Kantons, in dem die versicherte Person zur Zeit der Beschwerdeerhebung Wohnsitz hat (vgl. Art. 58 Abs. 1 ATSG).</w:t>
      </w:r>
    </w:p>
    <w:p>
      <w:r>
        <w:rPr>
          <w:b/>
        </w:rPr>
        <w:t>E. 1.4</w:t>
      </w:r>
    </w:p>
    <w:p>
      <w:r>
        <w:t>Gemäss Art. 30 ATSG haben alle Stellen, die mit der Durchführung der Sozialversicherung betraut sind, versehentlich an sie gelangte Anmeldungen, Gesuche und Eingaben entgegenzunehmen. Sie halten das Datum der Einreichung fest und leiten die entsprechenden Unterlagen an die zuständige Stelle weiter.</w:t>
      </w:r>
    </w:p>
    <w:p>
      <w:r>
        <w:rPr>
          <w:b/>
        </w:rPr>
        <w:t>E. 2</w:t>
      </w:r>
    </w:p>
    <w:p>
      <w:r>
        <w:t>Angefochten ist eine Verfügung der Ausgleichskasse des Kantons B._______ betreffend den Ergänzungsleistungsanspruch des Beschwerdeführers ab 1. Juli 2020. Gemäss Verweis auf S. 2 der Verfügung kann diese mittels Einsprache angefochten werden.</w:t>
      </w:r>
    </w:p>
    <w:p>
      <w:r>
        <w:rPr>
          <w:b/>
        </w:rPr>
        <w:t>E. 2.1</w:t>
      </w:r>
    </w:p>
    <w:p>
      <w:r>
        <w:t>Im Hinblick auf die sachliche und die funktionelle Zuständigkeit (vgl. Kölz/Häner/Bertschi, Verwaltungsverfahren und Verwaltungsrechtspflege des Bundes, 3. Aufl. 2013 Rz. 391 ff.) des Bundesverwaltungsgerichts steht fest, dass der Beschwerdeführer den Instanzenzug nicht ausgeschöpft hat. Beim angefochtenen Verwaltungsakt der Ausgleichskasse vom 28. August 2020 handelt es sich gemäss klarem Wortlaut um eine Verfügung, welche die neuen Mietausgaben des Beschwerdeführers berücksichtigt (vgl. B-act. 1 Beilage 1 S. 1-3). Die hier in Frage stehende Einsprache vom 5. September 2020 wäre demnach gemäss Art. 52 Abs. 1 ATSG an die verfügende Ausgleichskasse (und nicht an ein Versicherungsgericht) zu richten gewesen. Die genannte Eingabe ist deshalb gemäss Art. 30 ATSG an die Ausgleichskasse zu übermitteln (s. oben E. 1.4).</w:t>
      </w:r>
    </w:p>
    <w:p>
      <w:r>
        <w:rPr>
          <w:b/>
        </w:rPr>
        <w:t>E. 2.2</w:t>
      </w:r>
    </w:p>
    <w:p>
      <w:r>
        <w:t>Das Bundesverwaltungsgericht ist auch örtlich für die hier in Frage stehende Sache unzuständig (vgl. Art. 32 Abs. 2 Bst. b VGG, oben E. 1.1). Der Beschwerdeführer wohnt in der Schweiz, im Kanton B._______, weshalb gemäss Art. 58 Abs. 1 ATSG die entsprechende kantonale gerichtliche Behörde für das weitere (Beschwerde-)Verfahren zuständig ist, hier das Versicherungsgericht des Kantons B._______ - nach vorausgehendem Ausschöpfen des Instanzenzugs (oben E. 1.3.2 und 2.1). Eine Sonderregelung für die kantonalen Entscheide betreffend die Verfahren über Ergänzungsleistungen, mit einer ausserordentlichen Zuständigkeit des Bundesverwaltungsgerichts, sieht der Bundesgesetzgeber für versicherte Personen nicht vor.</w:t>
      </w:r>
    </w:p>
    <w:p>
      <w:r>
        <w:rPr>
          <w:b/>
        </w:rPr>
        <w:t>E. 2.3.1</w:t>
      </w:r>
    </w:p>
    <w:p>
      <w:r>
        <w:t>Soweit der Beschwerdeführer einen «Revisionsentscheid als ausserordentliches Rechtsmittel» beantragt, ist festzuhalten, dass mit der angefochtenen Verfügung vom 28. August 2020 und der Einsprache dagegen noch kein formell rechtskräftiger Verwaltungsakt ergangen ist. Da die Revision gemäss Art. 66 ff. VwVG für formell rechtskräftige Verwaltungsakte vorbehalten ist, besteht hier für die Prüfung von allfälligen Revisionsgründen kein Raum (vgl. Häfelin/Müller/Uhlmann, Allgemeines Verwaltungsrecht, 7. Aufl. 2016 Rz. 1219 und 1265 ff.).</w:t>
      </w:r>
    </w:p>
    <w:p>
      <w:r>
        <w:rPr>
          <w:b/>
        </w:rPr>
        <w:t>E. 2.3.2</w:t>
      </w:r>
    </w:p>
    <w:p>
      <w:r>
        <w:t>Soweit der Beschwerdeführer im Übrigen hier einen «Sprungrekurs» (vgl. Kölz/Häner/Bertschi a.a.O., Rz. 1271 f.) unter Umgehung der zuständigen Verwaltung (Ausgleichskasse) ans (unzuständige) Versicherungsgericht (oben E. 2.2) ergreifen will, ist hierzu keine rechtliche Grundlage ersichtlich und wird eine solche auch nicht geltend gemacht. Insgesamt erweist sich der Antrag nicht als nachvollziehbar begründet.</w:t>
      </w:r>
    </w:p>
    <w:p>
      <w:r>
        <w:rPr>
          <w:b/>
        </w:rPr>
        <w:t>E. 2.4</w:t>
      </w:r>
    </w:p>
    <w:p>
      <w:r>
        <w:t>Zusammenfassend ergibt sich, dass das Bundesverwaltungsgericht für die vorliegende Einsprache in sachlicher, funktioneller und örtlicher Hinsicht nicht zuständig ist. Damit ist sie offensichtlich unzulässig, weshalb im einzelrichterlichen Verfahren gemäss Art. 23 Abs. 1 Bst. b VGG darauf nicht einzutreten ist. Gestützt auf die Weiterleitungspflicht nach Art. 30 ATSG wird die Eingabe im Original (inkl. Beilagen) an die zuständige Ausgleichskasse überwiesen.</w:t>
      </w:r>
    </w:p>
    <w:p>
      <w:r>
        <w:rPr>
          <w:b/>
        </w:rPr>
        <w:t>E. 3.1</w:t>
      </w:r>
    </w:p>
    <w:p>
      <w:r>
        <w:t>Für den vorliegenden Entscheid sind keine Kosten aufzuerlegen (vgl. Art. 6 Bst. b des Reglements über die Kosten und Entschädigungen vor dem Bundesverwaltungsgericht vom 21. Februar 2008 [VGKE; SR 173.320.2]).</w:t>
      </w:r>
    </w:p>
    <w:p>
      <w:r>
        <w:rPr>
          <w:b/>
        </w:rPr>
        <w:t>E. 3.2</w:t>
      </w:r>
    </w:p>
    <w:p>
      <w:r>
        <w:t>Der (obsiegenden) Vorinstanz wird gemäss Art. 7 Abs. 3 VGKE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