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C-4440/2008 vom 11. August 2011</w:t>
      </w:r>
    </w:p>
    <w:p>
      <w:r>
        <w:t>Bundesverwaltungsgericht, 2011-08-11, DE</w:t>
      </w:r>
    </w:p>
    <w:p>
      <w:r>
        <w:rPr>
          <w:b/>
        </w:rPr>
        <w:t xml:space="preserve">Quelle: </w:t>
      </w:r>
      <w:r>
        <w:t>https://mcp.opencaselaw.ch/entscheid/bvger_C-4440_2008</w:t>
      </w:r>
    </w:p>
    <w:p>
      <w:r>
        <w:t>FR: TAF C-4440/2008 du 11 août 2011</w:t>
      </w:r>
    </w:p>
    <w:p>
      <w:r>
        <w:t>IT: TAF C-4440/2008 del 11 agosto 2011</w:t>
      </w:r>
    </w:p>
    <w:p>
      <w:pPr>
        <w:pStyle w:val="Heading2"/>
      </w:pPr>
      <w:r>
        <w:t>Regeste</w:t>
      </w:r>
    </w:p>
    <w:p>
      <w:r>
        <w:t>Krankheits- und Unfallbekämpfung</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genannten Behörden. Die sachliche Zuständigkeit des Bundes­verwaltungsgerichts zur Beurteilung von Beschwerden gegen Verfügungen der Vollzugsorgane im Bereich des aSTEG bzw. der Produktesicherheit ergab sich bis Ende Juni 2010 aus Art. 12 Abs. 2 aSTEG, seit dem 1. Juli 2010 aus Art. 15 des Bundesgesetzes vom 12. Juni 2009 über die Produktesicherheit (PrSG, SR 930.11). Angefochten ist eine Verfügung der Suva, welche gestützt auf das aSTEG erlassen wurde. Die Suva ist ein STEG- bzw. Produktesicher­heits-Kontrollorgan (Art. 11 Abs. Bst. a 1 aSTEV, Art. 20 Abs. 1 Bst. a der Verordnung vom 19. Mai 2010 über die Produktesicherheit [PrSV, SR 930.111]) und Vorinstanz im Sinne von Art. 33 Bst. e VGG. Das Bundesverwaltungsgericht ist demnach zur Beurteilung der vorliegenden Beschwerde zuständig.</w:t>
      </w:r>
    </w:p>
    <w:p>
      <w:r>
        <w:rPr>
          <w:b/>
        </w:rPr>
        <w:t>E. 2</w:t>
      </w:r>
    </w:p>
    <w:p>
      <w:r>
        <w:t>Das Verfahren vor dem Bundesverwaltungsgericht richtet sich nach dem Verwaltungsverfahrensgesetz, soweit das Verwaltungsgerichtsgesetz nichts anderes bestimmt (Art. 37 VGG, vgl. auch Art. 12 Abs. 1 STEG, Art. 15 PrSG). Die Beschwerdeführerin ist als Adressatin durch die angefochtene Verfü­gung ohne Zweifel besonders berührt und hat ein schutzwürdiges Interesse an deren Aufhebung oder Änderung. Zudem hat sie am vorinstanzlichen Verfahren teilgenommen. Sie ist daher zur Beschwerdeführung legitimiert (vgl. Art. 48 Abs. 1 VwVG). Auf die frist- und formgerechte Beschwerde ist, nachdem auch der Kostenvorschuss rechtzeitig bezahlt wurde, demnach einzutreten.</w:t>
      </w:r>
    </w:p>
    <w:p>
      <w:r>
        <w:rPr>
          <w:b/>
        </w:rPr>
        <w:t>E. 3</w:t>
      </w:r>
    </w:p>
    <w:p>
      <w:r>
        <w:t>Das neue PrSG hat per 1. Juli 2010 das STEG abgelöst, weshalb zunächst zu prüfen ist, welches Recht anwendbar ist. Vorliegend erfolgte die Rechtsänderung erst bei Rechtshängigkeit der Beschwerde.</w:t>
      </w:r>
    </w:p>
    <w:p>
      <w:r>
        <w:rPr>
          <w:b/>
        </w:rPr>
        <w:t>E. 3.1</w:t>
      </w:r>
    </w:p>
    <w:p>
      <w:r>
        <w:t>Gemäss Lehre und bundesgerichtlicher Rechtsprechung ist in aller Regel vom Rechtszustand auszugehen, wie er sich im Zeitpunkt des Erlasses der angefochtenen Verfügung dargestellt hat - soweit nicht Übergangsbestimmungen eine andere Regelung vorsehen (zu den allgemeinen intertemporalrechtlichen Grundsätzen vgl. etwa BGE 125 II 598 mit Hinweisen). Dies gilt insbesondere dann, wenn das alte Recht für den Beschwerdeführenden im Ergebnis milder ist. Im Laufe des Beschwerdeverfahrens eingetretene Rechtsänderungen sind an sich unbeachtlich, es sei denn, zwingende Gründe sprächen für die sofortige Anwendung des neuen Rechts (Urteil BVGer C-5911/2008 vom 17. Dezember 2010 E. 6 mit Hinweisen).</w:t>
      </w:r>
    </w:p>
    <w:p>
      <w:r>
        <w:rPr>
          <w:b/>
        </w:rPr>
        <w:t>E. 3.2</w:t>
      </w:r>
    </w:p>
    <w:p>
      <w:r>
        <w:t>Im Vergleich zum aSTEG ist der Anwendungsbereich des PrSG weiter und das Schutzniveau höher (siehe Hans-Joachim Hess, Produktesicherheitsgesetz [PrSG], Handkommentar, Bern 2010, Teil 1 Rz. 76 ff.). Gemäss Art. 21 Abs. 1 PrSG dürfen Produkte, welche die Anforderungen nach bisherigem Recht, jedoch nicht die Anforderungen nach neuem Recht erfüllen, noch bis zum 31. Dezember 2011 in Verkehr gebracht werden. Nach dessen Abs. 2 müssen Hersteller, Importeure oder Händler bis zum 31. Dezember 2011 die Voraussetzungen schaffen, die zur Umsetzung von Art. 8 PrSG (Pflichten nach dem Inverkehrbringen) notwendig sind. Aufgrund dieser Übergangsbestimmung sind keine (zwingenden) Gründe für eine sofortige Anwendung des neuen Rechts ersichtlich, weshalb die vorliegende Beschwerde im Lichte der bis Ende Juni 2010 gültigen Rechtslage zu beurteilen ist.</w:t>
      </w:r>
    </w:p>
    <w:p>
      <w:r>
        <w:rPr>
          <w:b/>
        </w:rPr>
        <w:t>E. 4</w:t>
      </w:r>
    </w:p>
    <w:p>
      <w:r>
        <w:t>Im Folgenden werden - soweit nicht anders vermerkt - die im Zeitpunkt des Verfügungserlasses (Mai 2008) gültigen Normen zitiert.</w:t>
      </w:r>
    </w:p>
    <w:p>
      <w:r>
        <w:rPr>
          <w:b/>
        </w:rPr>
        <w:t>E. 4.1</w:t>
      </w:r>
    </w:p>
    <w:p>
      <w:r>
        <w:t>Das aSTEG bezweckt zunächst die Sicherheit von technischen Einrichtungen und Geräten (TEG) und weiter eine Vermeidung von technischen Handelshemmnissen, wobei das schweizerische Recht insbesondere auf das Recht der Europäischen Union (EU) abgestimmt werden soll (STEG-Kommentar des Staatssekretariats für Wirtschaft [Seco], Ausgabe Januar 2004, S. 15). Eine behördliche Zulassung von TEG ist - entsprechend dem "New approach" (vgl. Hess, a.a.O., Art. 4 Rz. 15 ff.) - nicht vorgesehen, sondern das System der nachträglichen Kontrolle bzw. der Marktkontrolle (vgl. Art. 6 aSTEG i.V.m. Art. 11 ff. aSTEV; STEG-Kom­mentar, S. 13 f. und 24 ff.).</w:t>
      </w:r>
    </w:p>
    <w:p>
      <w:r>
        <w:rPr>
          <w:b/>
        </w:rPr>
        <w:t>E. 4.1.1</w:t>
      </w:r>
    </w:p>
    <w:p>
      <w:r>
        <w:t>TEG dürfen gemäss Art. 3 aSTEG nur in Verkehr gebracht werden, wenn sie bei ihrer bestimmungsgemässen und sorgfältigen Verwendung Leben und Gesundheit der Benützer und Dritter nicht gefährden. Sie müssen den grundlegenden Sicherheits- und Gesundheitsanforderungen nach Art. 4 aSTEG entsprechen, oder, wenn keine solche Anforderungen festgelegt worden sind, nach den anerkannten Regeln der Technik hergestellt worden sein.</w:t>
      </w:r>
    </w:p>
    <w:p>
      <w:r>
        <w:rPr>
          <w:b/>
        </w:rPr>
        <w:t>E. 4.1.2</w:t>
      </w:r>
    </w:p>
    <w:p>
      <w:r>
        <w:t>Der Bundesrat legt die grundlegenden Sicherheits- und Gesundheitsanforderungen fest; er berücksichtigt dabei das entsprechende internationale Recht (Art. 4 aSTEG). Für Maschinen (im Sinne von Art. 1 Abs. 1-3 MRL 98/37) gelten die grundlegenden Sicherheits- und Gesund­heitsanforderungen nach Anhang I MRL 98/37 (Art. 3 Abs. 1 aSTEV; zur Rechtslage ab 29. Dezember 2009 vgl. Maschinenverordnung vom 2. April 2008 [MaschV, SR 819.14] sowie Richtlinie 2006/42/EG des Europäischen Parlaments und des Rates vom 17. Mai 2006 über Maschinen und zur Änderung der Richtlinie 95/16/EG [Neufassung], ABl. L 157 vom 9. Juni 2006, S. 24 [nachfolgend: MRL 2006/42]).</w:t>
      </w:r>
    </w:p>
    <w:p>
      <w:r>
        <w:rPr>
          <w:b/>
        </w:rPr>
        <w:t>E. 4.1.3</w:t>
      </w:r>
    </w:p>
    <w:p>
      <w:r>
        <w:t>Wer ein TEG in Verkehr bringt, muss nachweisen können, dass dieses den grundlegenden Sicherheits- und Gesundheitsanforderungen entspricht (Art. 4b Abs. 1 aSTEG). Werden TEG nach den vom zuständigen Bundesamt bezeichneten technischen Normen (vgl. Art. 4a aSTEG) hergestellt, so wird vermutet, dass die grundlegenden Sicherheits- und Gesundheitsanforderungen erfüllt sind (Art. 4b Abs. 2 aSTEG). Wer TEG, die den technischen Normen nach Art. 4a nicht entsprechen, in Verkehr bringt, muss nachweisen können, dass sie die grundlegenden Sicher­heits- und Gesundheitsanforderungen auf andere Weise erfüllen (Art. 4b Abs. 3 aSTEG).</w:t>
      </w:r>
    </w:p>
    <w:p>
      <w:r>
        <w:rPr>
          <w:b/>
        </w:rPr>
        <w:t>E. 4.2</w:t>
      </w:r>
    </w:p>
    <w:p>
      <w:r>
        <w:t>Die Kontrolle über die Einhaltung der Vorschriften über das Inverkehrbringen von Maschinen im Sinne von Art. 2 Abs. 1 aSTEV obliegt im betrieblichen Bereich der Suva (vgl. Art. 11 aSTEV in Verbindung mit Art. 3 Abs. 1 Anhang Bst. a Ziff. 1 der Zuständigkeitenverordnung-STEG vom 23. August 2005 [AS 2005 4257; aufgehoben per 1. Juli 2010, AS 2010 2583]).</w:t>
      </w:r>
    </w:p>
    <w:p>
      <w:r>
        <w:rPr>
          <w:b/>
        </w:rPr>
        <w:t>E. 4.2.1</w:t>
      </w:r>
    </w:p>
    <w:p>
      <w:r>
        <w:t>Die Aufgaben und Befugnisse der Kontrollorgane sind in Art. 13 aSTEV geregelt. Gemäss Abs. 1 führen die Kontrollorgane stichprobenweise nachträgliche Kontrollen über die Einhaltung der Sicherheitsvorschriften für TEG durch. Sie verfolgen begründete Hinweise, wonach TEG den Vorschriften nicht entsprechen. Eine solche nachträgliche Kontrolle umfasst die formelle Überprüfung, ob die Konformitätserklärung (sofern gefordert) in Ordnung ist und die technischen Unterlagen vollständig sind, eine Sicht- und Funktionskontrolle sowie eine weitere nachträgliche Kontrolle des beanstandeten TEG (Abs. 2). Im Rahmen der nachträglichen Kontrolle sind die Kontrollorgane insbesondere befugt, die für den Nachweis der Konformität von TEG erforderlichen Unterlagen und Informationen zu verlangen, Muster zu erheben und Prüfungen zu veranlassen sowie während der üblichen Arbeitszeit die Geschäftsräume zu betreten (Abs. 3). Bringt der Inverkehrbringer die verlangten Unterlagen innerhalb der von den Kontrollorganen festgesetzten Frist nicht oder nicht vollständig bei, so können diese eine Überprüfung verfügen. Der Inverkehrbringer trägt die Kosten (Abs. 4). Die Kontrollorgane können eine Überprüfung auch verfügen, wenn aus der Konformitätserklärung nach Art. 7 nicht hinreichend hervorgeht, dass ein TEG den Anforderungen entspricht, oder Zweifel bestehen, ob ein TEG mit den eingereichten Unterlagen übereinstimmt (Abs. 5). Ergibt die Überprüfung nach Absatz 5, dass ein TEG den Anforderungen nicht entspricht, so trägt der Inverkehrbringer die Kosten der Überprüfung (Abs. 6).</w:t>
      </w:r>
    </w:p>
    <w:p>
      <w:r>
        <w:rPr>
          <w:b/>
        </w:rPr>
        <w:t>E. 4.2.2</w:t>
      </w:r>
    </w:p>
    <w:p>
      <w:r>
        <w:t>Entspricht ein TEG den Vorschriften der aSTEV nicht, so informiert das Kontrollorgan den Inverkehrbringer über das Ergebnis der Kontrolle und gibt ihm Gelegenheit zur Stellungnahme. Hierauf ordnet es gegebenenfalls die nötigen Massnahmen mit einer Verfügung an und räumt für deren Befolgung eine angemessene Frist ein. Es kann insbesondere das weitere Inverkehrbringen verbieten, den Rückruf, die Beschlagnahme oder die Einziehung verfügen sowie die von ihm getroffenen Massnahmen veröffentlichen (Art. 13a Abs. 1 aSTEV). Für die nachträgliche Kontrolle, bei der sich herausstellt, dass ein TEG nicht den Vorschriften entspricht, wird dem Inverkehrbringer eine Gebühr auferlegt. Auslagen werden zusätzlich berechnet (Art. 13a Abs. 2 aSTEV). Die Gebühren und Auslagen richten sich nach der Verordnung des EVD über die Gebühren für technische Einrichtungen und Geräte vom 16. Juni 2006 (aGebV-STEG [AS 2006 2681; aufgehoben per 1. Juli 2010, AS 2010 2593]).</w:t>
      </w:r>
    </w:p>
    <w:p>
      <w:r>
        <w:rPr>
          <w:b/>
        </w:rPr>
        <w:t>E. 4.3</w:t>
      </w:r>
    </w:p>
    <w:p>
      <w:r>
        <w:t>Die grundlegenden Anforderungen gemäss Anhang 1 MRL 98/37 werden durch zahlreiche international harmonisierte Normen (der europäischen Normungsorganisation CEN) konkretisiert. Die Liste der harmonisierten Normen im Sinne der MRL 98/37 (bzw. seit Ende 2009 MRL 2006/42) wird periodisch im Amtsblatt der EU (ABl.) veröffentlicht. Um eine weitgehende Übereinstimmung mit dem europäischen Recht zu erreichen (vgl. STEG-Kommentar S. 10 f.), werden diese Normen vom Seco gemäss Art. 4a aSTEG als technische Normen für Maschinen bezeichnet; Titel und Fundstelle der Normen im Sinne von Art. 4a aSTEG werden im Bundesblatt veröffentlicht (Art. 8 aSTEG).</w:t>
      </w:r>
    </w:p>
    <w:p>
      <w:r>
        <w:rPr>
          <w:b/>
        </w:rPr>
        <w:t>E. 4.4</w:t>
      </w:r>
    </w:p>
    <w:p>
      <w:r>
        <w:t>Im Bereich der Maschinensicherheit wurde eine strukturelle Gliederung der Normen entwickelt. Danach werden die sicherheitstechnischen Anforderungen, die auf alle Produkte des betrachteten Bereichs zutreffen, in Grundnormen niedergelegt, die als Typ A-Normen bezeichnet werden. Normen des Typs B enthalten Festlegungen für eine Maschinengattung und in den Typ C-Normen sind die spezifischen Festlegungen für bestimmte Maschinen oder eine Gruppe vergleichbarer Maschinen angegeben. Ausschliesslich Typ C-Normen können die Konformitätsvermutung auslösen (STEG-Kommentar, S. 11).</w:t>
      </w:r>
    </w:p>
    <w:p>
      <w:r>
        <w:rPr>
          <w:b/>
        </w:rPr>
        <w:t>E. 5</w:t>
      </w:r>
    </w:p>
    <w:p>
      <w:r>
        <w:t>Zwischen den Verfahrensbeteiligten streitig ist insbesondere, ob sich die Beschwerdeführerin auf die Vermutung, dass die grundlegenden Sicherheits- und Gesundheitsanforderungen erfüllt sind, gemäss Art. 4b Abs. 2 aSTEG berufen kann.</w:t>
      </w:r>
    </w:p>
    <w:p>
      <w:r>
        <w:rPr>
          <w:b/>
        </w:rPr>
        <w:t>E. 5.1</w:t>
      </w:r>
    </w:p>
    <w:p>
      <w:r>
        <w:t>Die Konformitätsvermutung gemäss Art. 4b Abs. 2 aSTEG ist eine Beweislastregel, welche die Rechtsstellung des Inverkehrbringers erheb­lich verbessert. Dieser hat lediglich (aber immerhin) zu belegen, dass das TEG nach den massgebenden (bezeichneten) Normen hergestellt wurde. Erachtet das Kontrollorgan ein nach den Normen im Sinne von Art. 4a aSTEG hergestelltes TEG als den grundlegenden Anforderungen nicht entsprechend, obliegt ihm die subjektive und objektive Beweislast (vgl. STEG-Kommentar, S. 11, Hess, a.a.O., Art. 5 Rz. 16).</w:t>
      </w:r>
    </w:p>
    <w:p>
      <w:r>
        <w:rPr>
          <w:b/>
        </w:rPr>
        <w:t>E. 5.1.1</w:t>
      </w:r>
    </w:p>
    <w:p>
      <w:r>
        <w:t>Die Beschwerdeführerin macht geltend, die beiden beanstandeten Stapler seien gemäss der gültigen harmonisierten Norm EN 1726-1 hergestellt worden, weshalb die Konformität zu vermuten sei.</w:t>
      </w:r>
    </w:p>
    <w:p>
      <w:r>
        <w:rPr>
          <w:b/>
        </w:rPr>
        <w:t>E. 5.1.2</w:t>
      </w:r>
    </w:p>
    <w:p>
      <w:r>
        <w:t>Demgegenüber vertritt die Suva die Ansicht, die Norm EN 1726-1 enthalte keine Anforderungen hinsichtlich Sicherheit der Anbaugeräte und deren Bedienung bzw. keine Konkretisierung von Ziff. 1.2.2 Anhang 1 MRL 98/37. Hinsichtlich einer unbeabsichtigten Betätigung der Stellteile bewirke die Norm keine Konformitätsvermutung.</w:t>
      </w:r>
    </w:p>
    <w:p>
      <w:r>
        <w:rPr>
          <w:b/>
        </w:rPr>
        <w:t>E. 5.2</w:t>
      </w:r>
    </w:p>
    <w:p>
      <w:r>
        <w:t>Die Norm EN 1726-1 (Sicherheit von Flurförderzeugen - Motorkraft­betriebene Flurförderzeuge bis einschliesslich 10'000 kg Tragfähigkeit und Schlepper bis einschließlich 20'000 N Zugkraft - Teil 1: Allgemeine Anforderungen) wurde am 27. März 2001 als technische Norm für Maschinen bezeichnet und mit folgendem Hinweis versehen: Die Nutzer der Norm werden darauf hingewiesen, dass die Gefährdung des Bedien­personals durch Umstürzen des Flurförderzeuges von der Norm nicht erfasst wird. In dieser Hinsicht ist die Einhaltung der Norm nicht mit einer Konformitätsvermutung verbunden (BBl 2001 1311, S. 1312).</w:t>
      </w:r>
    </w:p>
    <w:p>
      <w:r>
        <w:rPr>
          <w:b/>
        </w:rPr>
        <w:t>E. 5.2.1</w:t>
      </w:r>
    </w:p>
    <w:p>
      <w:r>
        <w:t>Die Norm EN 1726-1 ist eine Typ-C-Norm. Es ist unbestritten, dass die in Frage stehenden Stapler in deren Anwendungsbereich (vgl. dazu Ziff. 1 der Norm) fallen. Gemäss Ziff. 1.3 enthält die Norm die technischen Anforderungen, die notwendig sind, um die speziellen Gefährdungen (gemäss Auflistung in Ziff. 4), die bei bestimmungsgemässer Verwendung und Wartung von Flurförderzeugen ausgehen, zu minimieren. Die Norm wiederhole nicht alle technischen Regeln, die allgemeiner Stand der Technik seien; hierfür erfolgten Hinweise auf EN 292-2:1995.</w:t>
      </w:r>
    </w:p>
    <w:p>
      <w:r>
        <w:rPr>
          <w:b/>
        </w:rPr>
        <w:t>E. 5.2.2</w:t>
      </w:r>
    </w:p>
    <w:p>
      <w:r>
        <w:t>Ziff. 4 enthält eine Liste der Gefährdungen und die entsprechenden Anforderungen, welche definiert wurden, um das Risiko einzuschränken oder die Gefahr in der jeweiligen Situation zu reduzieren. Unter "mecha­nische Gefährdungen" werden bspw. Gefährdungen durch Quetschen (Ziff. 4.1.1) oder durch Scheren (Ziff. 4.1.2) aufgeführt. Bei den entspre­chenden Anforderungen wird bei beiden Gefährdungskategorien u.a. auf Ziff. 5.4 Stellteile verwiesen. Gefährdungen durch Stoss, insbesondere durch instabile Lasten (Ziff. 4.1.6, 2. Spiegelstrich) sollen u.a. durch Anforderungen an Gabelzinken (Ziff. 5.6.5.2), Gabelträger (Ziff. 5.6.6) und Anbaugeräte (Ziff. 5.6.7) vermindert werden. Zur Minderung von Gefähr­dungen durch menschliches Fehlverhalten (Ziff. 4.8.6) werden Anfor­derungen an die Kennzeichnung (Ziff. 5.4.7), Restgefahren (Ziff. 7.1), Betriebsanleitung (Ziff. 7.2) und Warnsymbole (Ziff. 7.3.3.4) aufgeführt. Als weitere Gefährdungen werden in Ziff. 4.14.4 unzulängliche Ausbildung und Anordnung der Stellteile genannt. Die Abstände der Bedienelemente, Verstellkräfte und Festigkeit der Stellkräfte werden von der Norm nicht erfasst. Hingegen gelten bspw. für Stellteile manuell angetriebener Hubeinrichtungen und Stellteile für automatische Funktionen die Anfor­derungen gemäss Ziff. 5.4.4.2 und 5.4.3.3 sowie für Lenkungsrückschlag Ziff. 5.4.3.3. In Ziff. 4.15 werden weitere mechanische Gefährdungen auf­geführt: Die Gefährdung ungeschützter Personen infolge unkontrollierter Bewegung (Ziff. 4.15.1) soll durch die Anforderungen an die Anordnung von Stellteilen (Ziff. 5.4.1.1), das hydraulische Hubsystem (Ziff. 5.6.3.1) und das hydraulische Neigesystem (Ziff. 5.6.3.4) gemindert werden. Für die Gefährdung infolge loser oder herausgeschleuderter Teile oder durch Überrollen (Verformung) ist die Norm EN 1726-1 nicht anwendbar (Ziff. 4.15.2 f.). Bei den zusätzlichen Gefährdungen durch den Hebevor­gang wird die Gefährdung durch unkontrollierte Bewegung aufgeführt (Ziff. 4.16.4). Hier sind insbesondere die Anforderungen an Stellteile (Ziff. 5.4.2, 5.4.4 ff.) und Anbaugeräte (Ziff. 5.6.7.2) zu beachten.</w:t>
      </w:r>
    </w:p>
    <w:p>
      <w:r>
        <w:rPr>
          <w:b/>
        </w:rPr>
        <w:t>E. 5.2.3</w:t>
      </w:r>
    </w:p>
    <w:p>
      <w:r>
        <w:t>Die Norm regelt ausführlich, für welche Gefährdungen sie Anfor­derungen festlegt und für welche nicht. Es kann deshalb nicht ohne Weiteres angenommen werden, eine bestimmte Anforderung ergebe sich unmittelbar aus der MRL oder aus EN 292-1 oder -2 (als Typ-A-Normen).</w:t>
      </w:r>
    </w:p>
    <w:p>
      <w:r>
        <w:rPr>
          <w:b/>
        </w:rPr>
        <w:t>E. 5.3</w:t>
      </w:r>
    </w:p>
    <w:p>
      <w:r>
        <w:t>Anforderungen an Stellteile sind sowohl in Ziff. 1.2.2 Anhang 1 MRL 98/37 als auch in der Norm EN 1726-1 enthalten.</w:t>
      </w:r>
    </w:p>
    <w:p>
      <w:r>
        <w:rPr>
          <w:b/>
        </w:rPr>
        <w:t>E. 5.3.1</w:t>
      </w:r>
    </w:p>
    <w:p>
      <w:r>
        <w:t>Nach Ziff. 1.2.2 Anhang 1 MRL 98/37 müssen Stellteile (-) deutlich sichtbar und kenntlich und gegebenenfalls zweckmässig gekennzeichnet sein; (-) so angebracht sein, dass ein sicheres, unbedenkliches, schnelles und eindeutiges Betätigen möglich ist; (-) so konzipiert sein, dass das Betätigen des Stellteils mit der jeweiligen Steuerwirkung kohärent ist; (-) ausserhalb der Gefahrenbereiche angeordnet sein, erforderlichenfalls mit Ausnahme bestimmter Stellteile wie solcher von Notbefehlseinrichtungen oder von Stellteilen auf Pulten zur Programmierung von Robotern; (-) so liegen, dass ihr Betätigen nicht zusätzliche Gefahren hervorruft; (-) so konzipiert oder geschützt sein, dass die beabsichtigte Wirkung, falls sie eine Gefahr hervorrufen kann, nicht ohne absichtliches Betätigen eintreten kann; (-) so gefertigt werden, dass sie vorhersehbaren Beanspruchungen standhalten; dies gilt insbesondere für Stellteile von Notbehelfseinrichtungen, die in hohem Mass beansprucht werden können (Abs. 1). Ist ein Stellteil für mehrere verschiedene Wirkungen konzipiert und gebaut, d.h., ist seine Wirkung nicht eindeutig (zum Beispiel bei der Verwendung von Tastaturen usw.), so muss die jeweilige Steuerwirkung unmissverständlich angezeigt und erforderlichenfalls bestätigt werden (Abs. 2). Abs. 3-6 legen weitere Anforderungen (bspw. betreffend ergonomische Prinzipien, Anzeigevorrichtungen) fest.</w:t>
      </w:r>
    </w:p>
    <w:p>
      <w:r>
        <w:rPr>
          <w:b/>
        </w:rPr>
        <w:t>E. 5.3.2</w:t>
      </w:r>
    </w:p>
    <w:p>
      <w:r>
        <w:t>Die Norm EN 1726-1 enthält u.a. folgende Anforderungen: Stellteile müssen, wenn möglich, in ihrer Betätigungsrichtung mit der Funktions­richtung übereinstimmen und innerhalb der Fahrzeug- und Deichselkontur angeordnet sein (Ziff. 5.4.1.1). Die Wirkung des Stellteiles für die Rege­lung der Geschwindigkeit muss so erfolgen, dass eine Vergrösserung der Betätigungswirkung die Fahrgeschwindigkeit erhöht. Beim Loslassen des Stellteiles muss seine Wirkung wieder auf neutral zurück­gehen (Ziff. 5.4.2). Ziff. 5.4.3 enthält Anforderungen an die Stellteile für die Lenkung, Ziff. 5.4.4 Anforderungen für die Stellteile zum Handhaben der Last. Gemäss Ziff. 5.4.4.1 müssen die Stellteile beim Loslassen, auch beim zufälligen Loslassen, in die Neutralstellung zurückgehen, wobei die entsprechende Lastbewegung gestoppt wird. Ziff. 5.4.4.2 betrifft Stellteile manuell angetriebener Hubeinrichtungen, welche prEN 1757-1 entspre­chen müssen.</w:t>
      </w:r>
    </w:p>
    <w:p>
      <w:r>
        <w:rPr>
          <w:b/>
        </w:rPr>
        <w:t>E. 5.3.3</w:t>
      </w:r>
    </w:p>
    <w:p>
      <w:r>
        <w:t>EN 1726-1 nimmt damit verschiedene Anforderungen von Ziff. 1.2.2 Anhang 1 MRL 98/37 betreffend Stellteile auf und konkretisiert diese für Flurförderzeuge. Nicht enthalten ist die Anforderung, dass Stellteile so konzipiert oder geschützt sein müssen, dass die beabsichtigte Wirkung, falls sie eine Gefahr hervorrufen kann, nicht ohne absichtliches Betätigen eintreten kann (Ziff. 1.2.2 Abs. 1, 6. Spiegelstrich). Dies kann zweierlei bedeuten: Entweder ist diese Anforderung für Flurförderzeuge nicht wesentlich (bspw. weil die Gefahr nicht erheblich erscheint), oder die Norm entspricht nicht dem Sicherheitsstandard der MRL 98/37 und weist damit eine Lücke auf. Der Argumentation der Suva kann jedenfalls insoweit nicht gefolgt werden, als sie einerseits das Erfordernis, ein Schutzklauselverfahren - welches anwendbar ist, wenn die Kontroll­behörde geltend macht, eine harmonisierte Norm entspreche nicht (oder nicht mehr) dem Sicherheitsstandard einer EU-Richtlinie (vgl. STEG-Kommentar, S. 11 f.; Thomas Klindt, GPSG-Kommentar, München 2007, § 4 Rz. 20) - durchzuführen, explizite verneint (vgl. act. 19 S. 7), anderer­seits aber geltend macht, die Norm EN 1726-1 konkretisiere Ziff. 1.2.2 Anhang 1 MRL 98/37 nicht und bewirke insofern keine Konformitäts­vermutung (vgl. act. 19 S. 3). Es trifft zwar zu, dass sich die Konformitätsvermutung gemäss Art. 4b Abs. 2 aSTEG nur auf die grundlegenden Sicherheits- und Gesundheitsanforderungen erstrecken kann, welche von der massgebenden Norm tatsächlich geregelt werden (sollen). Eine in einer Norm selber nicht vorgesehene, sondern durch Auslegung ermittelte Einschränkung ihres Wirkungsbereichs, ist - im Interesse der Rechtssicherheit und zur Vermeidung unterschiedlicher Anforderungen in einzelnen Ländern - nicht nur für einen Einzelfall festzustellen, sondern hat ein Schutzklauselverfahren zu Folge. In diesem Zusammenhang ist darauf hinzuweisen, dass die EU-Kommission Normen, welche in einzelnen Bereichen nicht dem Sicherheitsniveau der EU-Richtlinie, welche sie konkretisieren, entsprechen, jeweils mit einem entsprechenden Warnhinweis im Amtsblatt der EU veröffentlicht und die Mitgliedstaaten anweist, dies ebenfalls zu tun (vgl. bspw. Entscheidung der Kommission vom 11. März 2009 betreffend Norm EN 12312-9:2005, ABl. L 67 vom 12. März 2009, S. 85). Bis im Jahre 2009 wurde die Norm EN 1726-1 allein mit dem Hinweis, dass die Gefährdung des Bedien­personals durch Umstürzen des Flurförderzeugs von der Norm nicht erfasst werde, im Amtsblatt der EU veröffentlicht (vgl. ABl. C 104 vom 8. Mai 2007, S. 1 ff., S. 7; ABl. C 74 vom 28. März 2009, S. 1 ff., S. 21).</w:t>
      </w:r>
    </w:p>
    <w:p>
      <w:r>
        <w:rPr>
          <w:b/>
        </w:rPr>
        <w:t>E. 5.3.4</w:t>
      </w:r>
    </w:p>
    <w:p>
      <w:r>
        <w:t>Anzufügen bleibt, dass das soeben Ausgeführte auch für das vorinstanzliche Argument gilt, wonach die Norm EN 1726-1 keine Anforderungen in Bezug auf die Sicherheit der Anbaugeräte selbst und deren Bedienung (sondern lediglich die sichere Befestigung) definiere. Gemäss Ziff. 1.4 EN 1726-1 sind integrierte Anbaugeräte Bestandteil des Flurförderzeugs. Anbaugeräte, die an den Gabelträger oder die Gabel­zinken angebracht und durch den Benutzer abgenommen werden kön­nen, sind nicht Bestandteil des Flurförderzeugs. Es ist nicht ersichtlich, weshalb sich die von der Vorinstanz erkannte Gefährdung lediglich bei auswechselbaren Anbaugeräten verwirklichen sollte. Im Übrigen spielt es - wie die Suva zu Recht anführt - keine Rolle, ob ein Stapler mit Ballen- oder Rollenklammer als Gesamtmaschine qualifiziert wird, da die Stell­teile zum Stapler (Flurförderzeug) gehören und die Anforderungen an Stellteile für alle gemäss bestimmungsgemässem Gebrauch zulässigen Anbaugeräte erfüllt sein müssen (act. 19 S. 4).</w:t>
      </w:r>
    </w:p>
    <w:p>
      <w:r>
        <w:rPr>
          <w:b/>
        </w:rPr>
        <w:t>E. 5.4</w:t>
      </w:r>
    </w:p>
    <w:p>
      <w:r>
        <w:t>Der Argumentation der Vorinstanz kann demnach nicht gefolgt wer­den. Vielmehr ist festzustellen, dass die Norm EN 1726-1 auch Anfor­derungen an Stellteile festlegt und somit Ziff. 1.2.2 Anhang 1 MRL 98/37 für Flurförderzeuge konkretisiert. Es gilt daher die Konformitätsvermutung gemäss Art. 4b Abs. 2 aSTEG, sofern die Stapler nach den mass­gebenden Normen (insbesondere EN 1726-1) hergestellt wurden. Bei einer solchen Ausgangslage hätten der Vorinstanz, welche ein Sicher­heitsrisiko erkannt hat, grundsätzlich folgende Möglichkeiten offen gestanden: Erstens hätte sie (gegebenenfalls) mit hinreichender Begründung feststellen können, dass die Norm EN 1726-1 nicht (oder nicht mehr) dem Sicherheitsniveau von Ziff. 1.2.2 Anhang 1 MRL 98/37 entspricht und diesbezüglich keine Konformitätsvermutung zu begründen vermag. Zweitens hätte sie - sofern EN 1726-1 keine Schutzlücke aufweist - prüfen können (bzw. müssen), ob die Stapler nach den massgebenden Normen hergestellt wurden. Wäre dies zu bejahen, hätte sie drittens die Konformitätsvermutung dadurch umstossen können, dass sie eine Gefährdung aufgrund der fehlenden Zustimmeinrichtung mit dem Beweisgrad der überwiegenden Wahrscheinlichkeit nachgewiesen hätte. Nicht zulässig ist jedoch das von der Vorinstanz gewählte Vorgehen, weil es gegen Art. 4b Abs. 2 aSTEG verstösst.</w:t>
      </w:r>
    </w:p>
    <w:p>
      <w:r>
        <w:rPr>
          <w:b/>
        </w:rPr>
        <w:t>E. 5.5</w:t>
      </w:r>
    </w:p>
    <w:p>
      <w:r>
        <w:t>Betreffend die drei möglichen Vorgehensvarianten bleibt Folgendes anzufügen:</w:t>
      </w:r>
    </w:p>
    <w:p>
      <w:r>
        <w:rPr>
          <w:b/>
        </w:rPr>
        <w:t>E. 5.5.1</w:t>
      </w:r>
    </w:p>
    <w:p>
      <w:r>
        <w:t>Es gibt durchaus Indizien dafür, dass die Norm EN 1726-1 nicht dem Sicherheitsniveau der MRL 98/37 entspricht. So soll die Norm durch die - noch in der Entwicklung stehenden - prEN ISO 3691-1 ersetzt werden, welche voraussichtlich weitergehende Anforderungen festlegen wird. Zudem wird EN 1726-1 von der Europäischen Kommission nicht mehr als harmonisierte Norm im Sinne der (neuen) MRL 2006/42 aufgeführt (vgl. bspw. ABl. C 214 vom 8. September 2009, S. 1, ABl. C 110 vom 8. April 2011, S. 1). Für die Annahme einer Schutzlücke genügen diese Indizien allein indessen nicht.</w:t>
      </w:r>
    </w:p>
    <w:p>
      <w:r>
        <w:rPr>
          <w:b/>
        </w:rPr>
        <w:t>E. 5.5.2</w:t>
      </w:r>
    </w:p>
    <w:p>
      <w:r>
        <w:t>In ihrer Vernehmlassung machte die Vorinstanz geltend, die Beschwerdeführerin habe in ihrer Eingabe vom 17. Dezember 2007 noch explizit erklärt, die Norm EN 1726-1 sei nicht angewendet worden (act. 7 Ziff. 5.4). Zur Frage, ob sie die Norm EN 1726-1 als eingehalten erachtet, äusserte sie sich jedoch nicht.</w:t>
      </w:r>
    </w:p>
    <w:p>
      <w:r>
        <w:rPr>
          <w:b/>
        </w:rPr>
        <w:t>E. 5.5.2.1</w:t>
      </w:r>
    </w:p>
    <w:p>
      <w:r>
        <w:t>Im erwähnten Schreiben vom 17. Dezember 2007 (act. 27 B 8) wird unter Ziff. 5 zu Ziff. 5.6.7.1 EN 1726-1 Stellung genommen, wonach Anbaugeräte sich nicht unbeabsichtigt aushängen und seitlich verschieben lassen dürfen. Die Beschwerdeführerin liess dazu ausführen, die Norm, die eine Sicherheitsnorm darstelle, habe hier eine Lücke. Es fehle - gemäss Ziff. 1.2.2 Anhang 1 MRL 98/37 - der Hinweis, dass die Aussage nur gelte, wenn eine Gefahr bestehe. Der Stand der Norm sei kein Sicherheitsstandard und deshalb sei die Norm hier auch nicht angewendet worden. Das Schutzziel der Maschinenrichtlinie sei aber erfüllt. Ob die Norm nur hinsichtlich Ziff. 5.6.7.1 oder generell nicht als massgebender Sicherheitsstandard betrachtet wurde, geht aus den Ausführungen nicht klar hervor. In der Konformitätserklärung der X._______ GmbH (Hamburg) vom 12. November 2004 wird jedoch lediglich bestätigt, der X._______-Elektro-Gabelstapler (R 60-30 I) stimme mit der MRL 98/37 (in der letzten gültigen Fassung) "und der EMV-Richtlinie 89/336/EWG in der letzten gültigen Fassung, für Flurförderzeuge umgesetzt in der harmonisierten Norm EN 12895," überein (act. 27 B 8). Der schwedische Hersteller B._______ führte in der Konformitätserklärung vom 12. Juli 2005 aus, der Stapler _______sei konform mit der MRL 98/37 sowie den Richtlinien 89/336 (mit Änderungen) und 2000/14/EG (act. 27 B 8). Beide Konformitätserklärungen bezogen sich nur auf die Gabelstapler, ohne Anbaugeräte. Auf entsprechende Aufforderung der Suva reichte die Beschwerdeführerin am 10. März 2008 Konformitätserklärungen für beide Stapler mit den Anbaugeräten (Ballenklammer bzw. Rollenklammer) vom 6. März 2008 ein (act. 27 B 10). Betreffend B._______ Diesel-Gabelstapler mit Ballenklammer bestätigte die X._______ AG (als Tochtergesellschaft der X._______ GmbH Hamburg), die Übereinstimmung mit der MRL 98/37 sowie den Richtlinien 89/336/EWG und 2000/14/EG und führte als angewendete harmonisierte Normen EN 1726-1 und EN 1726-2 an. Betreffend X._______ Elektro-Gabel­stapler mit Rollenklammer bestätigte sie die Übereinstimmung mit MRL 98/37 und der Richtlinie 89/336/EWG; weiter erklärte sie die harmonisierten Normen EN 12895, EN 1726-1 und EN 1726-2 als angewendet.</w:t>
      </w:r>
    </w:p>
    <w:p>
      <w:r>
        <w:rPr>
          <w:b/>
        </w:rPr>
        <w:t>E. 5.5.2.2</w:t>
      </w:r>
    </w:p>
    <w:p>
      <w:r>
        <w:t>Die Konformitätserklärung bescheinigt gemäss Art. 7 Abs. 1 aSTEV, dass das Produkt alle anwendbaren Vorschriften über sein Inverkehrbringen erfüllt, insbesondere diejenigen über die grundlegenden Sicherheits- und Gesundheitsanforderungen sowie über die Konformitätsbewertung (welche vorliegend nicht durch eine Konformitätsbewertungsstelle durchzuführen war, vgl. Art. 5 Abs. 1 i.V.m. Anhang 1 Bst. a aSTEV). Sie wird durch den Hersteller oder seinen in der Schweiz niedergelassenen Vertreter ausgestellt und muss in einer der Amtssprachen der Schweiz abgefasst sein. Wurden technische (bzw. harmonisierte) Normen im Sinne von Art. 4a aSTEG angewandt, müssen diese - mit entsprechender Fundstelle - in der Konformitätserklärung aufgeführt werden (Anhang 2 Bst. A.b Ziff. 3 aSTEV; vgl. auch MRL 98/37 Anhang II Bst. A).</w:t>
      </w:r>
    </w:p>
    <w:p>
      <w:r>
        <w:rPr>
          <w:b/>
        </w:rPr>
        <w:t>E. 5.5.2.3</w:t>
      </w:r>
    </w:p>
    <w:p>
      <w:r>
        <w:t>Angesichts der in E. 5.5.2.1 zitierten Ausführungen der Beschwerdeführerin kann nicht ohne Weiteres davon ausgegangen werden, dass die Norm EN 1726-1 nur versehentlich in der ersten Konformitätserklärung nicht aufgeführt wurde. Der Umstand, dass sich die zunächst eingereichten Konformitätserklärungen lediglich auf die Stapler (ohne Anbaugeräte) bezogen, ändert an der Anwendbarkeit der Norm EN 1726-1 nichts. Unter diesen Umständen erscheint es nicht sachgerecht, allein auf die später eingereichten Konformitätserklärungen vom 6. März 2008 abzustellen. Bestehen trotz Konformitätserklärung Zweifel, ob ein TEG den gesetzlichen Anforderungen entspricht, kann das Kontrollorgan die technischen Unterlagen gemäss Art. 8 STEV verlangen (vgl. auch Art. 13 Abs. 5 Bst. a aSTEV; STEG-Kommentar, S. 14). Vorliegend hat die Vorinstanz jedoch darauf verzichtet, die vollständigen technischen Unterlagen für Maschinen gemäss Anhang 3 Bst. a aSTEV anzufordern. Nicht eingeholt wurden namentlich die detaillierten und vollständigen Pläne etc. für die Überprüfung der Übereinstimmung der Maschine mit den grundlegenden Sicherheits- und Gesundheitsanforderungen gemäss Bst. b sowie eine Liste der grundlegenden Anforderungen, der Normen und der anderen technischen Spezifikationen, die bei der Konstruktion der Maschine berücksichtigt wurden (Bst. c).</w:t>
      </w:r>
    </w:p>
    <w:p>
      <w:r>
        <w:rPr>
          <w:b/>
        </w:rPr>
        <w:t>E. 5.5.2.4</w:t>
      </w:r>
    </w:p>
    <w:p>
      <w:r>
        <w:t>Kommt die Vorinstanz bei einer erneuten Prüfung zum Schluss, die Norm EN 1726-1 weise keine Sicherheitslücke auf, wird sie demnach aufgrund der technischen Unterlagen zu prüfen haben, ob sich die Beschwerdeführerin auf die Konformitätsvermutung gemäss Art. 4b Abs. 2 aSTEG bzw. Art. 5 Abs. 2 PrSG berufen kann.</w:t>
      </w:r>
    </w:p>
    <w:p>
      <w:r>
        <w:rPr>
          <w:b/>
        </w:rPr>
        <w:t>E. 5.5.3</w:t>
      </w:r>
    </w:p>
    <w:p>
      <w:r>
        <w:t>Schliesslich ist darauf hinzuweisen, dass die von der Vorinstanz geltend gemachte Gefährdung durch die beanstandeten Stapler zwar glaubhaft erscheint. Eine Glaubhaftmachung würde indessen nicht genügen, um eine Konformitätsvermutung im Sinne von Art. 4b Abs. 2 aSTEG umzustossen.</w:t>
      </w:r>
    </w:p>
    <w:p>
      <w:r>
        <w:rPr>
          <w:b/>
        </w:rPr>
        <w:t>E. 5.6</w:t>
      </w:r>
    </w:p>
    <w:p>
      <w:r>
        <w:t>Zusammenfassend ergibt sich, dass die Vorinstanz - angesichts der möglichen Gefährdungen - grundsätzlich zu Recht ein nachträgliches Kontrollverfahren eröffnet hat. Die angefochtene Verfügung verstösst indessen gegen Art. 4b Abs. 2 aSTEG und ist deshalb aufzuheben. Die Beschwerde ist demnach gutzuheissen.</w:t>
      </w:r>
    </w:p>
    <w:p>
      <w:r>
        <w:rPr>
          <w:b/>
        </w:rPr>
        <w:t>E. 6</w:t>
      </w:r>
    </w:p>
    <w:p>
      <w:r>
        <w:t>Zu befinden bleibt noch über die Verfahrenskosten und eine allfällige Parteientschädigung.</w:t>
      </w:r>
    </w:p>
    <w:p>
      <w:r>
        <w:rPr>
          <w:b/>
        </w:rPr>
        <w:t>E. 6.1</w:t>
      </w:r>
    </w:p>
    <w:p>
      <w:r>
        <w:t>Die Verfahrenskosten hat in der Regel die unterliegende Partei zu tragen (Art. 63 Abs. 1 VwVG). Der unterliegenden Vorinstanz sind allerdings keine Verfahrenskosten aufzuerlegen (Art. 63 Abs. 2 VwVG). Der Beschwerdeführerin ist der geleistete Verfahrenskostenvorschuss von Fr. 3'000.- nach Eintritt der Rechtskraft des vorliegenden Urteils zurückzuerstatten.</w:t>
      </w:r>
    </w:p>
    <w:p>
      <w:r>
        <w:rPr>
          <w:b/>
        </w:rPr>
        <w:t>E. 6.2</w:t>
      </w:r>
    </w:p>
    <w:p>
      <w:r>
        <w:t>Die Beschwerdeführerin hat gemäss Art. 64 Abs. 1 VwVG i.V.m. Art. 7 ff. des Reglements vom 21. Februar 2008 über die Kosten und Entschädigungen vor dem Bundesverwaltungsgericht (VGKE, SR 173.320.2) Anspruch auf eine Parteientschädigung zu Lasten der Vorinstanz. Mangels Kostennote ist die Entschädigung aufgrund der Akten festzusetzen (vgl. Art. 14 Abs. 2 VGKE). Unter Berücksichtigung des gebotenen und aktenkundigen Aufwandes erscheint eine Entschädigung von pauschal Fr. 4'500.- (einschliesslich Mehrwertsteuer)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