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C-4438/2009 vom 23. November 2010</w:t>
      </w:r>
    </w:p>
    <w:p>
      <w:r>
        <w:t>Bundesverwaltungsgericht, 2010-11-23, FR</w:t>
      </w:r>
    </w:p>
    <w:p>
      <w:r>
        <w:rPr>
          <w:b/>
        </w:rPr>
        <w:t xml:space="preserve">Quelle: </w:t>
      </w:r>
      <w:r>
        <w:t>https://mcp.opencaselaw.ch/entscheid/bvger_C-4438_2009</w:t>
      </w:r>
    </w:p>
    <w:p>
      <w:r>
        <w:t>FR: TAF C-4438/2009 du 23 novembre 2010</w:t>
      </w:r>
    </w:p>
    <w:p>
      <w:r>
        <w:t>IT: TAF C-4438/2009 del 23 novembre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L'examen du droit aux prestations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Par conséquent, les dispositions de la 5ème révision de la LAI entrées en vigueur le 1er janvier 2008 sont applicables.</w:t>
      </w:r>
    </w:p>
    <w:p>
      <w:r>
        <w:rPr>
          <w:b/>
        </w:rPr>
        <w:t>E. 3.1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3.2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Accords sur la libre circulation des personnes (cf. l'accord entre la Suisse et la Communauté européenne et ses Etats membres sur la libre circulation des personnes du 21 juin 1999 [ALCP, RS 0.142.112.681], Annexe II art. 1er ch. 2), les ressortissants suisses et de l'Union européenne qui présentent un degré d'invalidité de 40% au moins, ont droit à un quart de rente en application de l'art. 28 al. 2 LAI à partir du 1er juin 2002 s'ils ont leur domicile et leur résidence habituelle dans un Etat membre de l'UE (ATF 130 V 253 consid. 2.3).</w:t>
      </w:r>
    </w:p>
    <w:p>
      <w:r>
        <w:rPr>
          <w:b/>
        </w:rPr>
        <w:t>E. 4.1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4.2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4.3</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4.4</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(arrêt du Tribunal fédéral I 532/05 du 13 juillet 2006 consid. 3; I 561/05 du 31 mars 2006 consid. 3.3; ATF 112 V 371 consid. 2b).</w:t>
      </w:r>
    </w:p>
    <w:p>
      <w:r>
        <w:rPr>
          <w:b/>
        </w:rPr>
        <w:t>E. 4.5</w:t>
      </w:r>
    </w:p>
    <w:p>
      <w:r>
        <w:t>Le Tribunal fédéral a par ailleurs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 ATF 125 V 369 consid. 2 et ATF 112 V 372 consid. 2). En l'espèce, la décision du 21 septembre 2001 de l'OAI-JU octroyant une rente entière AI était fondée sur un état de santé non stabilisé, le droit aux prestations devant être reconsidéré en fin d'année. En 2002, le droit à une rente entière a été reconduit par le moyen d'une communication au motif d'un status stationnaire, sans modification de diagnostic, de la persistance de douleurs importantes, d'un suivi thérapeutique à Bâle. Par décision du 5 août 2004 l'OAI-JU a encore confirmé l'octroi d'une rente entière. À cette occasion aucun médecin n'a examiné la capacité résiduelle de travail de l'assuré. En outre, l'examen économique n'a pas été effectué. La décision du 5 août 2004 ne se référait pas non plus au dossier de la SUVA, pourtant indispensable pour la compréhension du cas. En ces circonstances, elle ne peut être considérée comme une décision ayant matériellement examiné le droit aux prestations. Il s'ensuit que le point de départ pour vérifier si les conditions de la révision sont remplies est constitué par la décision du 21 septembre 2001.</w:t>
      </w:r>
    </w:p>
    <w:p>
      <w:r>
        <w:rPr>
          <w:b/>
        </w:rPr>
        <w:t>E. 5.1</w:t>
      </w:r>
    </w:p>
    <w:p>
      <w:r>
        <w:t>La notion d'invalidité, dont il est question à l'art. 8 LPGA et à l'art. 4 LAI est de nature économique/juridique,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l'assurance-invalidité. Elle implique, d'une part, un certain équilibre entre l'offre et la demande de main d'?uvre et, d'autre part, un marché du travail structuré de telle sorte qu'il offre un éventail d'emplois diversifiés.</w:t>
      </w:r>
    </w:p>
    <w:p>
      <w:r>
        <w:rPr>
          <w:b/>
        </w:rPr>
        <w:t>E. 5.2</w:t>
      </w:r>
    </w:p>
    <w:p>
      <w:r>
        <w:t>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 115 V 133 consid. 2, 114 V 310 consid. 3c; arrêt du Tribunal fédéral I 599/2004 du 28 juillet 2005 consid. 1.2).</w:t>
      </w:r>
    </w:p>
    <w:p>
      <w:r>
        <w:rPr>
          <w:b/>
        </w:rPr>
        <w:t>E. 6</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7.1</w:t>
      </w:r>
    </w:p>
    <w:p>
      <w:r>
        <w:t>L'OAI-JU a alloué une rente entière d'invalidité par décision du 21 septembre 2001 à compter du 1er septembre 2000 en raison d'un état non stabilisé ne permettant manifestement pas la reprise d'une activité lucrative. Or, à compter de juin 2003 (rapport du 5 juin 2003 du médecin d'arrondissement de la SUVA), il est apparu un état stabilisé permettant à l'assuré d'exercer une activité lucrative en position assise avec ses deux mains, sous réserve de contacts avec les substances qui lui sont allergènes, et offrant la possibilité de courtes interruptions en position debout. Cette appréciation médicale a été confirmée par le Tribunal cantonal jurassien par arrêt du 26 octobre 2006 qui a par ailleurs relevé du dossier de la SUVA que le recourant minimisait ses possibilités de déplacement, qu'en effet le 2 octobre 2000, à l'issue du séjour du recourant à la Bäderklinik Zum Schiff, les médecins considéraient que, dans une activité assise, il n'y avait aucune restriction, que le Dr I._______ avait indiqué que le recourant était absolument capable de se déplacer sans porter des charges et sans monter ni descendre des escaliers sur des distances entre 50 et 200 mètres, que le Dr J._______ attestait que le recourant était en mesure de se déplacer 500 mètres sans canne (arrêt du Tribunal cantonal jurassien AA 139/04 consid. 3.1). Depuis l'appréciation médicale du 5 juin 2003, il n'apparaît pas au dossier de documents médicaux faisant état d'une aggravation objective du status de l'assuré. Toute la documentation médicale produite par l'assuré dans le cadre de la révision du droit à la rente confirme un status objectif d'importants remaniements dégénératifs post fractuaires des deux calcanéums osthéosynthésés. Le rapport du Prof. H._______, chirurgie du pied, daté du 28 juin 2008, releva un examen clinique pas très contributif, pas de tuméfaction significative des deux arrière-pieds, une raideur de l'articulation sous-astragalienne droite et moindre à gauche, pas de signe d'algodystrophie. Il s'ensuit que c'est à raison que le Dr G._______ a pu confirmer dans son rapport du 1er octobre 2008 un status sans modification depuis le 5 juin 2003 de séquelles post fracture des calcanéums permettant une activité adaptée à 75% en position principalement assise. Le rapport E 213 du 3 novembre 2008 n'invalide pas cette appréciation. Il relève notamment, outre les atteintes aux pieds, un bon état musculaire général, un status aggravé mais non documenté et le taux d'invalidité retenu de +66% l'est par rapport à la dernière activité exercée alors que le médecin du rapport E 213 ne s'est pas prononcé pour d'autres activités adaptées. Il y a donc lieu de retenir un état de santé manifestement amélioré depuis la décision prise par l'OAI-JU le 21 septembre 2001 dans le sens pour l'intéressé de pouvoir exercer en position assise avec les deux mains une activité au taux de rendement de 75% telle que l'a établi la SUVA en date du 13 juillet 2003 et l'a confirmé le Tribunal cantonal jurassien en date du 26 octobre 2006. L'intéressé ne souffrant pas d'autres pathologies et n'étant pas suivi médicalement, le Tribunal de céans ne peut que confirmer l'amélioration de la capacité de travail au sens de l'art. 17 LPGA.</w:t>
      </w:r>
    </w:p>
    <w:p>
      <w:r>
        <w:rPr>
          <w:b/>
        </w:rPr>
        <w:t>E. 7.2</w:t>
      </w:r>
    </w:p>
    <w:p>
      <w:r>
        <w:t>Il sied de rappeler qu'il est vrai que l'assurance-invalidité n'est pas liée par l'évaluation de l'invalidité de l'assurance-accidents (ATF 133 V 549). Il n'en demeure pas moins que l'assurance-invalidité n'a pas de raison de s'écarter de l'évaluation de l'assureur-accident s'il n'y a pas de motifs objectifs. En l'espèce, il n'apparaît pas du dossier que le Tribunal de céans puisse apprécier différemment l'état de santé de l'assuré, lequel est resté stable depuis l'examen déterminant du 5 juin 2003.</w:t>
      </w:r>
    </w:p>
    <w:p>
      <w:r>
        <w:rPr>
          <w:b/>
        </w:rPr>
        <w:t>E. 8.1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8.2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L'important dans l'évaluation de l'invalidité est que les deux termes de la comparaison, à savoir revenu sans invalidité et revenu d'invalide, soient équivalents, c'est à dire qu'ils se rapportent à un même marché du travail et à une même année de référence (ATF 110 V 273 consid. 4d; arrêt du Tribunal fédéral I 383/06 du 5 avril 2007 consid. 4.4).</w:t>
      </w:r>
    </w:p>
    <w:p>
      <w:r>
        <w:rPr>
          <w:b/>
        </w:rPr>
        <w:t>E. 8.3</w:t>
      </w:r>
    </w:p>
    <w:p>
      <w:r>
        <w:t>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9.1</w:t>
      </w:r>
    </w:p>
    <w:p>
      <w:r>
        <w:t>En l'espèce il y a lieu de procéder à une évaluation de l'invalidité selon la méthode générale par une comparaison de revenus sur la base du salaire de l'intéressé effectivement perçu indexé 2003 et de l'Enquête suisse sur la structure des salaires 2002 indexés 2003 car il doit être admis que c'est à compter de 2003 que l'état de santé du recourant doit être considéré comme stabilisé, celui-ci n'ayant pas évolué de façon déterminante depuis cette année jusqu'au 9 juin 2009. En effet, selon la jurisprudence, les salaires avant et après invalidité doivent être pris en compte / indexés jusqu'à la date de la survenance du droit éventuel à la rente, c'est-à-dire lorsque les conditions de santé peuvent être considérées comme stabilisées (ATF 128 V 174 et 129 V 222).</w:t>
      </w:r>
    </w:p>
    <w:p>
      <w:r>
        <w:rPr>
          <w:b/>
        </w:rPr>
        <w:t>E. 9.2</w:t>
      </w:r>
    </w:p>
    <w:p>
      <w:r>
        <w:t>L'OAIE a retenu comme base de comparaison sans invalidité le revenu de l'assuré selon les actes au dossier indexé 2003 de Fr. 55'481.- ou Fr. 4'623.41 par mois en tant qu'aide-charpentier et aide-couvreur. Cette activité ayant été exercée depuis 1995 avant l'accident de 1999, elle peut être retenue comme base de la comparaison sans invalidité.</w:t>
      </w:r>
    </w:p>
    <w:p>
      <w:r>
        <w:rPr>
          <w:b/>
        </w:rPr>
        <w:t>E. 9.3</w:t>
      </w:r>
    </w:p>
    <w:p>
      <w:r>
        <w:t>Le salaire après invalidité doit être fixé sur la base des données statistiques résultant de l'Enquête suisse sur les salaires 2002 (table TA1) indexé 2003. En l'occurrence il peut être pris en compte la moyenne des revenus des hommes du secteur privé pour des activités simples et répétitives (niveau 4) à 100% pour 40 h./sem., soit Fr. 4'557.- en 2002 et Fr. 4'620.79 (+1.4%) en 2003 et Fr. 4'817.18 pour 41.7 h./sem. selon le temps de travail usuel médian tous secteurs confondus, sous déduction de 25% (à l'instar du taux admis par le Tribunal cantonal jurassien) pour tenir compte de l'âge de l'assuré et de ses restrictions personnelles, soit Fr. 3'612.88.- et Fr. 2'709.66 au taux de 75% d'activité horaire ou de rendement. Un nombre suffisant d'entre elles peuvent être exercées sans efforts moyennement importants en position assise autorisant le changement de position, sans risque de contact avec des substances allergènes affectant les mains de l'assuré, de sorte que ces activités sont adaptées au handicap du recourant. De plus, la majeure partie de ces postes ne nécessite pas de formation particulière autre qu'une mise au courant initiale.</w:t>
      </w:r>
    </w:p>
    <w:p>
      <w:r>
        <w:rPr>
          <w:b/>
        </w:rPr>
        <w:t>E. 9.4</w:t>
      </w:r>
    </w:p>
    <w:p>
      <w:r>
        <w:t>En comparant le salaire avant invalidité de Fr. 4'623.41 avec celui après invalidité de Fr. 2'709.66, on obtient une perte de gain de 41.39% arrondie à 41% ([4'623.41 - 2'709.66] : 4'623.41 x 100) ouvrant normalement le droit à un quart de rente d'invalidité. Même indexés valeur 2009, année de la décision dont est recours, les revenus de référence précités et leur comparaison ne permettent pas d'atteindre un taux d'invalidité atteignant 50% au moins qui ouvrirait le droit à une demi-rente (revenu sans invalidité 2003 de Fr. 4'623.41 indexé 2009: Fr. 5'044.46; revenu avec invalidité selon TA1 2008, soit Fr. 4'806.-, indexé 2009 (+2.1%): Fr. 4'906.92 - 25% x 75% = Fr. 2'760.14, soit une perte de gain de 45.28% ([5'044.46 - 2'760.14] : 5'044.46 x 100) arrondie à 45%; revenus 2003 et 2009 base indice 1993: 113.1 pts / 123.4 pts). Il sied de relever que tant le Tribunal cantonal jurassien que le Tribunal de céans parviennent à un taux d'invalidité nettement inférieur à 50% et que le taux de 54% auquel est parvenue la SUVA résulte d'un calcul erroné qui n'a toutefois pas donné lieu à une reformatio in pejus de la part du Tribunal cantonal jurassien, celui-ci y ayant renoncé au vu de l'ensemble des circonstances.</w:t>
      </w:r>
    </w:p>
    <w:p>
      <w:r>
        <w:rPr>
          <w:b/>
        </w:rPr>
        <w:t>E. 9.5</w:t>
      </w:r>
    </w:p>
    <w:p>
      <w:r>
        <w:t>Le recourant ayant la nationalité suisse (cf. dossier SUVA) et étant domicilié dans un Etat membre de l'Union européenne, il a droit à un quart de rente (ATF 130 V 253 consid. 2.3). Il appert de ce qui précède que le recours doit être partiellement admis et la décision attaquée réformée dans le sens de l'octroi d'un quart de rente d'invalidité à compter du 1er août 2009 (art. 88a et 88bis RAI).</w:t>
      </w:r>
    </w:p>
    <w:p>
      <w:r>
        <w:rPr>
          <w:b/>
        </w:rPr>
        <w:t>E. 10</w:t>
      </w:r>
    </w:p>
    <w:p>
      <w:r>
        <w:t>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11.1</w:t>
      </w:r>
    </w:p>
    <w:p>
      <w:r>
        <w:t>Vu l'issue de la procédure, et compte tenu des circonstances, l'intéressé ayant de toute façon droit à un quart de rente, il n'est pas perçu de frais de procédure. Le montant de l'avance de frais de Fr. 300.- lui est restitué.</w:t>
      </w:r>
    </w:p>
    <w:p>
      <w:r>
        <w:rPr>
          <w:b/>
        </w:rPr>
        <w:t>E. 11.2</w:t>
      </w:r>
    </w:p>
    <w:p>
      <w:r>
        <w:t>Le recourant ayant eu partiellement gain de cause et ayant agi en étant représenté, il lui est alloué une indemnité de dépens réduite à charge de l'autorité inférieure de Fr. 1'250.- (art. 64 al. 1 PA et art. 7 ss du règlement du 21 février 2008 concernant les frais, dépens et indemnités fixés par le Tribunal administratif fédéral [FITAF, RS 173.320.2]) compte tenu de la difficulté de la cause et du travail effectué par l'avocat.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