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C-4428/2007 vom 19. Februar 2008</w:t>
      </w:r>
    </w:p>
    <w:p>
      <w:r>
        <w:t>Bundesverwaltungsgericht, 2008-02-19, DE</w:t>
      </w:r>
    </w:p>
    <w:p>
      <w:r>
        <w:rPr>
          <w:b/>
        </w:rPr>
        <w:t xml:space="preserve">Quelle: </w:t>
      </w:r>
      <w:r>
        <w:t>https://mcp.opencaselaw.ch/entscheid/bvger_C-4428_2007</w:t>
      </w:r>
    </w:p>
    <w:p>
      <w:r>
        <w:t>FR: TAF C-4428/2007 du 19 février 2008</w:t>
      </w:r>
    </w:p>
    <w:p>
      <w:r>
        <w:t>IT: TAF C-4428/2007 del 19 febbraio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1.3</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C-81/2006 vom 13. März 2007 E. 3 [mit Hinweisen]).</w:t>
      </w:r>
    </w:p>
    <w:p>
      <w:r>
        <w:rPr>
          <w:b/>
        </w:rPr>
        <w:t>E. 4.1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4.2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4.3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5.1</w:t>
      </w:r>
    </w:p>
    <w:p>
      <w:r>
        <w:t>Der Gesuchsteller kann sich auf keine Ausnahmeregelung berufen und unterliegt aufgrund seiner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5.2</w:t>
      </w:r>
    </w:p>
    <w:p>
      <w:r>
        <w:t>Anhaltspunkte zur Beurteilung der fristgerechten Wiederausreise können sich aus der allgemeinen Situation im Herkunftsland der Besucherin oder des Besuchers ergeben. Die aktuelle Lage in Kuba ist - neben den noch immer bestehenden Einschränkungen politischer Freiheitsrechte durch das kommunistische Regime - insbesondere durch eine seit dem Ende des kalten Krieges anhaltende, schwierige wirtschaftliche Situation gekennzeichnet. Eines der Hauptprobleme der kubanischen Volkswirtschaft sind die ungenügenden Leistungsanreize für die arbeitende Bevölkerung. Sie wird überwiegend in der sog. "moneda nacional", der nicht konvertiblen Landeswährung, bezahlt (Durchschnittseinkommen umgerechnet ca. 14 Euro im Monat), mit der der Lebensunterhalt nur zum kleineren Teil bestritten werden kann. Viele, auch elementare Produkte und Dienstleistungen sind nur für den "peso convertible" (CUC) erhältlich - zu Preisen, die oft den europäischen entsprechen oder sogar noch höher liegen. Der Lebensstandard einer kubanischen Familie wird heute weitgehend durch den Zugang zu konvertibler Währung (rund 40% der Bevölkerung erhalten Überweisungen ihrer im Ausland lebenden Verwandten) und andere Einkommensquellen bestimmt (Quelle: http://www.auswaertiges-amt.de, Länder- und Reiseinformationen &gt; Kuba &gt; Wirtschaft [Stand März 2007, besucht am 7. Februar 2008]). Die wirtschaftlichen und politischen Verhältnisse widerspiegeln sich in einer anhaltend hohen Emigrationsrate. Jährlich versuchen Tausende von kubanischen Staatsangehörigen, das Land zu verlassen (vgl. etwa Neue Zürcher Zeitung vom 18. Januar 2006: "Immer mehr Kubaner suchen die Freiheit"). Die Bereitschaft, das Land auf der Suche nach besseren Lebensbedingungen zu verlassen, wird erfahrungsgemäss dort noch begünstigt, wo bereits Verwandte oder Bekannte im Ausland leben und entsprechend ein minimales Beziehungsnetz besteht. Eine Rolle bei der Risikoanalyse spielt aber auch der Aspekt, dass kubanische Staatsangehörige, die sich länger als elf Monate im Ausland aufgehalten haben, gemäss dortigem Recht nicht mehr in ihr Heimatland zurückkehren können. Diese Regelung lädt Migrationswillige geradezu ein, die Verpflichtung zur Wiederausreise zu missachten oder so weit hinauszuzögern, bis eine zwangsweise Wegweisung durch den Aufenthaltsstaat nicht mehr durchgesetzt werden kann.</w:t>
      </w:r>
    </w:p>
    <w:p>
      <w:r>
        <w:rPr>
          <w:b/>
        </w:rPr>
        <w:t>E. 5.3</w:t>
      </w:r>
    </w:p>
    <w:p>
      <w:r>
        <w:t>Die Beschwerdeführerin bringt in diesem Zusammenhang vor, die Berufung auf die Zuwanderung aus der Herkunftsregion, die in zahlreichen Fällen gemachten negativen Erfahrungen aufgrund der allgemeinen wirtschaftlichen Lage sowie der Hinweis auf die eingeschränkte Rückkehrmöglichkeit nach Kuba führe dazu, dass kubanischen Staatsangehörigen die Einreise in die Schweiz generell verweigert werde, was einer Diskriminierung gleichkomme.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5.4</w:t>
      </w:r>
    </w:p>
    <w:p>
      <w:r>
        <w:t>Bei der Risikoanalyse sind aber nicht nur solch allgemeine Umstände und Erfahrungen, sondern auch, wie unter Ziff. 5.1 und Ziff. 5.3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kubanische Staatsangehörige die Möglichkeit, eine Einreisebewilligung zu erhalten, sofern die persönlichen Verhältnisse auf eine fristgerechte Rückkehr ins Heimatland schliessen lassen.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6.1</w:t>
      </w:r>
    </w:p>
    <w:p>
      <w:r>
        <w:t>Beim Eingeladenen handelt es sich um einen knapp 32-jährigen, geschiedenen Mann, welcher zurzeit keiner geregelten Erwerbstätigkeit nachgeht und somit beruflich nicht in der Arbeitswelt integriert ist (vgl. Ziff. 9 und 10 des persönlichen Einreisegesuches vom 24. April 2007 sowie den von der Rekurrentin ausgefüllten kantonalen Auskunftsbogen). Die Beschwerdeführerin verweist hingegen auf das intakte familiäre Umfeld des eingeladenen Freundes in Kuba und bringt diesbezüglich vor, als einziger Sohn habe dieser familiäre Verpflichtungen gegenüber seiner verwitweten Mutter und als Vater in Bezug auf seine beiden minderjährigen Söhne wahrzunehmen. Dieses Argument vermag nach Ansicht des Bundesverwaltungsgerichts schon deshalb nicht zu überzeugen, weil der Umstand, dass gleich eine dreimonatige Landesabwesenheit geplant ist, nicht ohne weiteres darauf schliessen lässt, die Präsenz des Gesuchstellers sei für die Belange seiner Familie unverzichtbar; aufgrund der Aktenlage ist vielmehr davon auszugehen, die von ihm geleistete Unterstützung und Betreuung könne durchaus für längere Zeit auch auf andere Weise sichergestellt werden. Insofern darf bezweifelt werden, dass dem Eingeladenen im Heimatland besondere Verpflichtungen obliegen, die ihn ernsthaft von einer Emigration abzuhalten vermöchten, zumal er mit der Rekurrentin, die er anlässlich der Gesuchseinreichung als "novia" (Verlobte) bezeichnete, bereits über eine wichtige Bezugsperson in der Schweiz verfügt.</w:t>
      </w:r>
    </w:p>
    <w:p>
      <w:r>
        <w:rPr>
          <w:b/>
        </w:rPr>
        <w:t>E. 6.2</w:t>
      </w:r>
    </w:p>
    <w:p>
      <w:r>
        <w:t>Berücksichtigt man zudem die oben erwähnte allgemeine wirtschaftliche Lage in Kuba, dürften die mittelfristigen Zukunftsaussichten des Gesuchstellers zumindest als schwierig einzustufen sein. In Anbetracht feststellbarer Differenzen betreffend Lebensqualität, sozialer Absicherung und des Lohnniveaus könnte nämlich selbst eine feste Arbeitsstelle im Heimatland nicht verlässlich vom Entschluss abhalten, aus dem Land zu emigrieren, ebenso wenig zurückbleibende Familienangehörige. Vielmehr könnte die Absicht auszuwandern gar von der Hoffnung getragen sein, die in Kuba lebenden Angehörigen aus dem Ausland wirtschaftlich besser unterstützen zu können. Vor diesem Hintergrund müssen die Vorbringen auf Beschwerdeebene, wonach genügend Garantien für eine fristgerechte Wiederausreise vorhanden seien, als nicht ausschlaggebend bezeichnet werden. Im Übrigen hegte auch die Schweizerische Vertretung in Havanna,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6.3</w:t>
      </w:r>
    </w:p>
    <w:p>
      <w:r>
        <w:t>Nach dem Gesagten durfte die Vorinstanz daher zu Recht davon ausgehen, die Wiederausreise des Gesuchstellers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Rekurrentin die rechtzeitige Rückkehr ihres Freundes zusichert; denn eine solche Garantie ist trotz bester und ehrlicher Absichten nicht möglich bzw. rechtlich nicht durchsetzbar (Urteil des Bundesverwaltungsgerichts C-2341/2006 vom 7. August 2007 E. 6). Insofern erübrigt es sich, Auskünfte bezüglich der Glaubwürdigkeit der Beschwerdeführerin bei der im Rekurs genannten Kontaktperson einzuholen. Wie bereits mehrfach betont, ist bei der Beurteilung von Einreisebegehren in erster Linie auf die persönlichen Verhältnisse der eingeladenen Personen - und nicht der Gastgeber - abzustellen. Der (durchaus verständliche) Wunsch der Beschwerdeführerin, ihrem Freund das Lebensumfeld in der Schweiz zeigen zu können, hat demnach in den Hintergrund zu treten. Wie die Vorinstanz in der Vernehmlassung zu Recht festgehalten hat, steht ihr als Schweizerbürgerin weiterhin die Möglichkeit offen, den Gesuchsteller in dessen Heimatland zu besuchen.</w:t>
      </w:r>
    </w:p>
    <w:p>
      <w:r>
        <w:rPr>
          <w:b/>
        </w:rPr>
        <w:t>E. 7</w:t>
      </w:r>
    </w:p>
    <w:p>
      <w:r>
        <w:t>Aus diesen Gründen ist somit nicht zu beanstanden, dass die Vorinstanz das öffentliche Interesse sowie die Beachtung der geltenden Bestimmungen entsprechend gewichtete und dem Eingeladenen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sind der Beschwerdeführerin die Kosten aufzuerlegen (Art. 63 Abs. 1 VwVG). Diese sind auf Fr. 600.- festzusetzen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