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C-4425/2011 vom 18. Januar 2013</w:t>
      </w:r>
    </w:p>
    <w:p>
      <w:r>
        <w:t>Bundesverwaltungsgericht, 2013-01-18, DE</w:t>
      </w:r>
    </w:p>
    <w:p>
      <w:r>
        <w:rPr>
          <w:b/>
        </w:rPr>
        <w:t xml:space="preserve">Quelle: </w:t>
      </w:r>
      <w:r>
        <w:t>https://mcp.opencaselaw.ch/entscheid/bvger_C-4425_2011</w:t>
      </w:r>
    </w:p>
    <w:p>
      <w:r>
        <w:t>FR: TAF C-4425/2011 du 18 janvier 2013</w:t>
      </w:r>
    </w:p>
    <w:p>
      <w:r>
        <w:t>IT: TAF C-4425/2011 del 18 gennaio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einzutreten, soweit sie das Einreiseverbot betrifft (vgl. Art. 49 ff. VwVG). Seine Begehren im Zusammenhang mit der Ausschaffung nach Mazedonien sind nicht Gegenstand des vorliegenden Verfahrens, weshalb darauf nicht einzutreten ist, kann doch Streitgegenstand nur sein, was vom Anfechtungsgegenstand erfasst wird.</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 3.3.1 Hinsichtlich der vom Beschwerdeführer als Beweismassnahme beantragten Begutachtung durch den Anstaltspsychiater von Bellechasse sowie der Einholung eines Führungsberichts beim Anstaltsdirektor von Bellechasse ist Folgendes festzuhalten: Der Behörde kommt grundsätzlich die Pflicht zu,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BV zu verletzen (vgl. zum Ganzen BGE 136 I 229 E. 5.3 S. 236 mit Hinweis). 3.2 Der entscheiderhebliche Sachverhalt erschliesst sich, wie nachfolgend zu zeigen sein wird, in hinreichender Weise aus den Akten. Von der beantragten Begutachtung durch den Anstaltspsychiater und der Einholung eines Führungsberichts des Anstaltsdirektors kann daher in antizipierter Beweiswürdigung ohne Verletzung des Anspruchs auf rechtliches Gehör abgesehen werden. Der Beschwerdeführer konnte sich zu den relevanten strittigen Fragen wiederholt schriftlich äussern. Dem Antrag auf Begutachtung sowie Einholung eines Führungsberichts ist deshalb nicht stattzugeben. 4.Vor einer allfälligen materiellrechtlichen Beurteilung ist in formeller Hinsicht zu prüfen, ob die Vorinstanz mit dem Erlass der angefochtenen Verfügung nicht den Anspruch auf rechtliches Gehör verletzt hat, da dem Beschwerdeführer keine Möglichkeit eingeräumt wurde, sich vorgängig zum Einreiseverbot zu äussern. 4.1 Den Akten ist zu entnehmen, dass die Vorinstanz gegenüber dem Beschwerdeführer am 16. Juli 2010 mit sofortiger Wirkung ein Einreiseverbot auf unbestimmte Zeit verfügte. Gleichzeitig wurde der Beschwerdeführer im Schengener Informationssystem (SIS) zur Einreiseverweigerung ausgeschrieben. Demzufolge wurde die SIS Eintragung nicht erst am 16. Juli 2011 vorgenommen, wie vom Beschwerdeführer vorgebracht. Die Fernhaltemassnahme wurde dem Beschwerdeführer sodann am 4. August 2011 im Gefängnis Bellechasse in Sugiez eröffnet. Am 2. Januar 2012, als er sich in Ausschaffungshaft befand, erhielt er die Gelegenheit, zu einem allfälligen Einreiseverbot Stellung zu nehmen. Davon machte er jedoch keinen Gebrauch. 4.2 Nach der bundesgerichtlichen Rechtsprechung ist der Anspruch auf rechtliches Gehör formeller Natur. Dessen Verletzung führt ungeachtet der Erfolgsaussichten der Beschwerde in der Sache selbst zur Aufhebung der angefochtenen Verfügung (BGE 135 I 279 E. 2.6.1 mit Hinweisen). Nach der Praxis des Bundesgerichts kann eine - nicht besonders schwerwiegende - Gehörsverletzung geheilt werden, wenn die unterbliebene Gewährung des rechtlichen Gehörs (also etwa die unterlassene Anhörung bzw. deren Kenntnisnahme, Akteneinsicht oder Begründung) in einem Rechtsmittelverfahren nachgeholt wird, in dem die Beschwerdeinstanz mit der gleichen Prüfungsbefugnis entscheidet wie die untere Instanz. Die Heilung ist aber in der Regel ausgeschlossen, wenn es sich um eine besonders schwerwiegende Verletzung der Parteirechte handelt; zudem darf dem Beschwerdeführer kein Nachteil erwachsen und die Heilung soll die Ausnahme bleiben (vgl. BGE 135 I 279 E. 2.6 S. 285 ff. mit Hinweisen; BGE 126 V 130 E. 2b; BGE 126 I 68 E. 2; BVGE 2009/61 E. 4.1.3. S. 851; Häfelin/Müller/Uhlmann, Allgemeines Verwaltungsrecht, 6. vollständig überarbeitete Aufl., Zürich/St. Gallen 2010, Rz. 1710 f.). Die vom Bundesgericht statuierten Voraussetzungen zur Heilung sind im vorliegenden Fall erfüllt, denn das Bundesverwaltungsgericht als Beschwerdeinstanz hat volle Kognition. Dem Beschwerdeführer wurde keine Möglichkeit eingeräumt, sich vorgängig zum Einreiseverbot zu äussern, weil sein Aufenthaltsort in der fraglichen Zeitspanne nicht bekannt war. Hingegen konnte sich der Beschwerdeführer in seiner Rechtsmitteleingabe ausführlich und vollumfänglich äussern. Von der Gelegenheit, zum Einreiseverbot nachträglich Stellung zu nehmen, hat er sodann willentlich keinen Gebrauch gemacht. Hätte sich der Beschwerdeführer dennoch zum Einreiseverbot geäussert, hätte die Vorinstanz - gegebenenfalls im Rahmen eines weiteren Schriftenwechsels - genügend Zeit gehabt, die Verfügung nachträglich dementsprechend anzupassen, denn der Beschwerdeführer wurde erst rund drei Wochen nach der Gewährung des rechtlichen Gehörs in sein Heimatland ausgeschafft. Die Vorinstanz konnte sich in casu an Hand der Verurteilungen des Beschwerdeführers ein klares Bild der Sachlage machen bevor sie verfügte. Unter diesen Umständen würde die Rückweisung der Sache an die Vorinstanz zur Durchführung eines Vorbescheidverfahrens einen prozessualen Leerlauf darstellen, welcher durch die Heilung der Verletzung des Gehörsanspruchs im Beschwerdeverfahren vermieden werden kann. Es ist daher vorliegend auf eine Rückweisung an die Vorinstanz zu verzichten und die Verletzung des Anspruchs auf rechtliches Gehör im vorinstanzlichen Verfahren als geheilt zu betrachten. 5.Das Vorbringen des Beschwerdeführers, die Verfügung lediglich in Kopie erhalten zu haben, läuft aufgrund der ohnehin nicht vorhandenen Unterschrift auf der Verfügung ins Leere (vgl. dazu Urteil des Bundesverwaltungsgerichts C-1346/2010 vom 14. Januar 2011 E. 3.2 mit Hinweisen). Es bleibt hinzuzufügen, dass es keinen Unterschied macht, ob die unterschriftslose Verfügung ausgedruckt oder kopiert wurde.</w:t>
      </w:r>
    </w:p>
    <w:p>
      <w:r>
        <w:rPr>
          <w:b/>
        </w:rPr>
        <w:t>E. 6.1</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6.2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w:t>
      </w:r>
    </w:p>
    <w:p>
      <w:r>
        <w:rPr>
          <w:b/>
        </w:rPr>
        <w:t>E. 7.1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(vgl. zum Ganzen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BBI 2009 8896 ad Art. 67 Abs. 3 in fine AuG sowie Urteil des Bun-desverwaltungsgerichts C-943/2012 vom 26. November 2012 E. 4.1 in fine mit Hinweis).</w:t>
      </w:r>
    </w:p>
    <w:p>
      <w:r>
        <w:rPr>
          <w:b/>
        </w:rPr>
        <w:t>E. 7.2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w:t>
      </w:r>
    </w:p>
    <w:p>
      <w:r>
        <w:rPr>
          <w:b/>
        </w:rPr>
        <w:t>E. 7.3</w:t>
      </w:r>
    </w:p>
    <w:p>
      <w:r>
        <w:t>Der Beschwerdeführer ist seit seinem 20. Lebensjahr mehrmals straffällig geworden. Neben strafbaren Handlungen gegen das Vermögen (Diebstahl und Sachbeschädigung) und Strassenverkehrsdelikten wurde er bereits im Jahr 2004 wegen Betäubungsmitteldelikten verurteilt (vgl. Bst. B. - D.). Zuletzt wurde er mit Urteil des Bezirksgerichts Visp vom 30. April 2009 der mehrfachen Widerhandlung gegen das Betäubungsmittelgesetz für schuldig erklärt und zu einer teilbedingten Freiheitsstrafe von 15 Monaten, mit einem unbedingt zu vollziehenden Teil von sechs Monaten und einem aufgeschobenen Teil von neun Monaten mit vier Jahren Probezeit, sowie zu einer Busse von Fr. 300.-- verurteilt. Die Voraussetzungen für ein Einreiseverbot gemäss Art. 67 Abs. 1 Bst. a AuG in der Fassung vom 1. Januar 2008 bzw. Art. 67 Abs. 2 Bst. a AuG in der Fassung vom 1. Januar 2011 sind zweifelsohne erfüllt. 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Urteil des Bundesverwaltungsgerichts C-2681/2010 vom 6. Mai 2011 E. 5.4 mit Hinweis). Verurteilungen zu Freiheitsstrafen wegen Drogendelikten führten denn auch nach altem Recht regelmässig zur Anordnung einer Fernhaltemassnahme (siehe Urteil des Bundesverwaltungsgerichts C-2944/2009 vom 11. Januar 2012 E.4.4 mit Hinweisen). 8.Hinzu kommt, dass der Beschwerdeführer in Ausschaffungshaft genommen und ausgeschafft werden musste, weshalb er auch diesbezüglich Gründe für die Verhängung einer Fernhaltemassnahme gesetzt hat (vgl. Art. 67 Abs. 1 Bst. c AuG in der Fassung vom 1. Januar 2008 bzw. Art. 67 Abs. 1 Bst. b AuG in der Fassung vom 1. Januar 2011 und Art. 67 Abs. 2 Bst. c AuG). Bei massgeblichem Sachverhalt zum Zeitpunkt der Urteilsfällung (vgl. E. 2 in fine) ist diese Ergänzung der vorinstanzlichen Begründung im Sinne einer Motivsubstitution durchaus möglich und zulässig (vgl. Bst. M. sowie Urteil des Bundesverwaltungsgerichts C-7511/2010 vom 20. November 2012 E. 3.3). 9.Es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 9.1 In casu besteht ohne Zweifel ein öffentliches Interesse an der Fernhaltung des Beschwerdeführers. Der Beschwerdeführer war zwar lediglich Kleindealer, doch laut Urteil des Bezirksgerichts Visp war sein Tun überwiegend egoistisch motiviert und nicht einzusehen, warum es ihm besonders schwer gefallen sein könnte, seine kriminellen Handlungen zu unterlassen. Mit Blick auf die Dauer der verhängten Massnahme von Belang erscheint, dass das Gericht sein Verschulden als insgesamt schwer qualifiziert und er aus rein egoistischen Motiven bereit war, durch Drogenhandel die Gesundheit einer Vielzahl von Menschen erheblichen Gefahren auszusetzen. Mitzuberücksichtigen gilt es ferner, dass er nicht selbständig vom Drogenhandel Abstand nahm, sondern erst infolge eines Hinweises auf belastende Aussagen von Drittpersonen anlässlich der zweiten untersuchungsrichterlichen Einvernahme. Überdies kommt hinzu, dass der Beschwerdeführer kurz nach der Entlassung aus der ersten Untersuchungshaft erneut mit Drogen handelte (vgl. Urteil des Bezirksgerichts Visp vom 30. April 2009 S. 20). Sein Fehlverhalten wiegt aus präventivpolizeilicher Sicht sehr schwer. Unter dem spezifischen Aspekt des Ausländerrechts muss er daher über Jahre hinweg als Risikofaktor für die öffentliche Sicherheit und Ordnung betrachtet werden, was grundsätzlich ein unbefristetes Einreiseverbot bzw. eine Fernhaltemassnahme von mehr als fünf Jahren rechtfertigt (vgl. Art. 67 Abs. 3 in fine AuG). Bleibt hinzuzufügen, dass die aktenkundige Regelmässigkeit, mit welcher der Beschwerdeführer delinquiert hat, auf eine Unbelehrbarkeit bzw. eine offenkundig fehlende Bereitschaft seinerseits hinweist, sich an die hierzulande geltende Rechtsordnung zu halten. So liess er sich weder durch Strafermittlungen, Verurteilungen, Strafvollzug, Probezeiten oder ausländerrechtliche Verwarnungen von diesem Lebenswandel abbringen. 9.2 An persönlichen Interessen bringt der Beschwerdeführer vor, er habe beinahe sein ganzes Leben in der Schweiz verbracht. Seine Familie und Kollegen würden in der Schweiz leben. Zu seinem Heimatland habe er keine näheren Verbindungen. Die Wirkung des Einreiseverbots besteht jedoch nicht darin, dass dem Beschwerdeführer während dessen Geltungsdauer Besuchsaufenthalte bei ihm nahe stehenden Personen in der Schweiz schlichtweg untersagt wären. Es steht ihm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C-2681/2010 vom 6. Mai 2011 E. 6.3 mit Hinweis). Der Kontakt zwischen ihm und seiner Familie in der Schweiz kann im Übrigen auch auf andere Weise als durch Besuche in der Schweiz gepflegt werden (Briefverkehr, Telefonate, Videotelefonie oder Gegenbesuche im Ausland). Das Fehlen eines dauerhaften Aufenthaltsrechts des Beschwerdeführers steht häufigeren persönlichen Kontakten mit seiner Familie in der Schweiz bereits entgegen. 9.3 Eine wertende Gewichtung der sich entgegenstehenden Interessen führt das Bundesverwaltungsgericht zum Schluss, dass das unbefristete Einreiseverbot auch im gegenwärtigen Zeitpunkt unter Berücksichtigung der gängigen Praxis in vergleichbaren Fällen eine verhältnismässige und angemessene Massnahme zum Schutz der öffentlichen Ordnung darstellt. Schliesslich bedeutet die fehlende Befristung nicht, dass die Massnahme für den Rest des Lebens Gültigkeit haben soll; ein Anspruch auf Überprüfung der Massnahme bei Wohlverhalten besteht im Allgemeinen etwa zehn Jahre nach Verbüssung der letzten Freiheitsstrafe (vgl. BVGE 2008/24 E. 4.3 und 6.2 je mit Hinweisen). Eine zuverlässige Prognose, wie lange ein relevantes öffentliches Sicherheitsbedürfnis anzunehmen ist, lässt sich in casu zum jetzigen Zeitpunkt nicht abgeben. Es ist vom Beschwerdeführer zu verlangen, sich vorerst weiterhin während geraumer Zeit im Ausland zu bewähren.</w:t>
      </w:r>
    </w:p>
    <w:p>
      <w:r>
        <w:rPr>
          <w:b/>
        </w:rPr>
        <w:t>E. 10</w:t>
      </w:r>
    </w:p>
    <w:p>
      <w:r>
        <w:t>Aus diesen Erwägungen ergibt sich, dass die angefochtene Verfügung im Lichte von Art. 49 VwVG nicht zu beanstanden ist. Die Beschwerde ist demzufolge - soweit darauf einzutreten ist - abzuweisen. 11.Entsprechend dem Ausgang des Verfahrens wird der unterliegende Beschwerdeführer kostenpflichtig (vgl. Art. 63 Abs. 1 VwVG, Art. 1, 2 und 3 Bst. b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