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C-4424/2022 vom 10. November 2022</w:t>
      </w:r>
    </w:p>
    <w:p>
      <w:r>
        <w:t>Bundesverwaltungsgericht, 2022-11-10, DE</w:t>
      </w:r>
    </w:p>
    <w:p>
      <w:r>
        <w:rPr>
          <w:b/>
        </w:rPr>
        <w:t xml:space="preserve">Quelle: </w:t>
      </w:r>
      <w:r>
        <w:t>https://mcp.opencaselaw.ch/entscheid/bvger_C-4424_2022</w:t>
      </w:r>
    </w:p>
    <w:p>
      <w:r>
        <w:t>FR: TAF C-4424/2022 du 10 novembre 2022</w:t>
      </w:r>
    </w:p>
    <w:p>
      <w:r>
        <w:t>IT: TAF C-4424/2022 del 10 novembre 2022</w:t>
      </w:r>
    </w:p>
    <w:p>
      <w:pPr>
        <w:pStyle w:val="Heading2"/>
      </w:pPr>
      <w:r>
        <w:t>Regeste</w:t>
      </w:r>
    </w:p>
    <w:p>
      <w:r>
        <w:t>Spezialitätenliste</w:t>
      </w:r>
    </w:p>
    <w:p>
      <w:pPr>
        <w:pStyle w:val="Heading2"/>
      </w:pPr>
      <w:r>
        <w:t>Erwägungen</w:t>
      </w:r>
    </w:p>
    <w:p>
      <w:r>
        <w:rPr>
          <w:b/>
        </w:rPr>
        <w:t>E. 1</w:t>
      </w:r>
    </w:p>
    <w:p>
      <w:r>
        <w:t>Die Vorinstanz hat mit Verfügung vom 13. September 2022 über die erstmalige Aufnahme des Arzneimittels B._______ befunden und dabei die Festsetzung der Preise mit Nebenbestimmungen verbunden. Die Hö- he der von der Vorinstanz festgesetzten Preise wird vorliegend von der Beschwerdeführerin nicht bestritten; zudem sind sich die Parteien grund- sätzlich auch über die erstmalige Aufnahme von B._______ in die Spezia- litätenliste (nachfolgend SL) einig. Die gegen diese Verfügung eingereich- te Beschwerde richtet sich ausschliesslich gegen eine Nebenbestimmung und zwar gegen die Höhe der vertraulichen Rückvergütung an die Kran- kenversicherer (vgl. auch BVGer-act. 2 Rz. 15 f.).</w:t>
      </w:r>
    </w:p>
    <w:p>
      <w:r>
        <w:t>Mit der vorliegenden Zwischenverfügung ist festzustellen, ob die Be- schwerde im vorliegenden Fall – wie von der Beschwerdeführerin geltend gemacht – lediglich eine teilweise aufschiebende Wirkung hat, bezie- hungsweise ist gegebenenfalls über den Eventualantrag der Beschwerde- führerin auf teilweisen Entzug der aufschiebenden Wirkung zu befinden. Sofern der vorliegenden Beschwerde nur teilweise aufschiebende Wir- kung zukommt beziehungsweise falls die aufschiebende Wirkung teilwei- se zu entziehen ist, und damit das Arzneimittel B._______ während der Dauer des Beschwerdeverfahrens bereits auf der SL zu führen ist, ist zu- dem über das Gesuch der Beschwerdeführerin und den Eventualantrag der Vorinstanz betreffend vorsorgliche Massnahme hinsichtlich des Rück- erstattungsanteils zu entscheiden.</w:t>
      </w:r>
    </w:p>
    <w:p>
      <w:r>
        <w:rPr>
          <w:b/>
        </w:rPr>
        <w:t>E. 2</w:t>
      </w:r>
    </w:p>
    <w:p>
      <w:r>
        <w:t>Aufl. 2016, Art. 55 Rz. 21). Bei negativen Verfügungen (Abweisung von</w:t>
      </w:r>
    </w:p>
    <w:p>
      <w:r>
        <w:t>C-4424/2022 Seite 8 Begehren auf Begründung, Änderung, Aufhebung oder Feststellung von Rechten oder Pflichten, oder Nichteintreten auf solche Begehren [Art. 5 Abs. 1 Bst. c VwVG]) ändert die aufschiebende Wirkung an der Rechtsla- ge nichts.</w:t>
      </w:r>
    </w:p>
    <w:p>
      <w:r>
        <w:rPr>
          <w:b/>
        </w:rPr>
        <w:t>E. 2.1</w:t>
      </w:r>
    </w:p>
    <w:p>
      <w:r>
        <w:t>Gemäss Art. 55 Abs. 1 des Bundesgesetzes vom 20. Dezember 1968 über das Verwaltungsverfahren (Verwaltungsverfahrensgesetz, VwVG, SR 172.021) kommt der Beschwerde grundsätzlich aufschiebende Wir- kung zu.</w:t>
      </w:r>
    </w:p>
    <w:p>
      <w:r>
        <w:rPr>
          <w:b/>
        </w:rPr>
        <w:t>E. 2.1.1</w:t>
      </w:r>
    </w:p>
    <w:p>
      <w:r>
        <w:t>Die aufschiebende Wirkung einer Beschwerde ist nur bei soge- nannten positiven Verfügungen (vgl. Art. 5 Abs. 1 Bst. a und b VwVG) von Bedeutung, das heisst bei Begründung, Änderung oder Aufhebung von Rechten oder Pflichten beziehungsweise der Feststellung des Bestehens, Nichtbestehens oder Umfanges von Rechten und Pflichten (HANSJÖRG SEILER, in: Praxiskommentar VwVG, Waldmann/Weissenberger [Hrsg.],</w:t>
      </w:r>
    </w:p>
    <w:p>
      <w:r>
        <w:rPr>
          <w:b/>
        </w:rPr>
        <w:t>E. 2.1.2</w:t>
      </w:r>
    </w:p>
    <w:p>
      <w:r>
        <w:t>Wird einem Begehren des Gesuchstellers nur teilweise (oder mit einschränkenden Auflagen) entsprochen, liegt sowohl eine positive als auch eine negative Verfügung vor (vgl. SEILER, a.a.O., Rz. 29). Der Kon- zeption des VwVG zur aufschiebenden Wirkung entsprechend ist praxis- gemäss dem Kriterium der Kontinuität erhebliches Gewicht beizumessen (Zwischenverfügung des BVGer C-4231/2017 vom 28. November 2017 E. 2.2).</w:t>
      </w:r>
    </w:p>
    <w:p>
      <w:r>
        <w:rPr>
          <w:b/>
        </w:rPr>
        <w:t>E. 2.1.3</w:t>
      </w:r>
    </w:p>
    <w:p>
      <w:r>
        <w:t>Nebenbestimmungen (Befristung, Bedingung und Auflage) konkre- tisieren die mit einer Verfügung festgelegten Rechte und Pflichten; sie re- geln die Modalitäten einer Verfügung (TSCHANNEN/ZIMMERLI/MÜLLER, All- gemeines Verwaltungsrecht, 4. Aufl. 2014, § 28 Rz. 90, zum Nachfolgen- den auch Rz. 91 ff.; HÄFELIN/MÜLLER/UHLMANN, Allgemeines Verwal- tungsrecht, 8. Aufl. 2020, Rz. 906 ff.).</w:t>
      </w:r>
    </w:p>
    <w:p>
      <w:r>
        <w:rPr>
          <w:b/>
        </w:rPr>
        <w:t>E. 2.1.4</w:t>
      </w:r>
    </w:p>
    <w:p>
      <w:r>
        <w:t>Können einzelne Anordnungen nicht aus dem Ganzen herausge- löst werden, ohne den Zweck und Sachzusammenhang in Frage zu stel- len, muss sich der Suspensiveffekt auf die ganze Verfügung erstrecken (XAVER BAUMBERGER, Aufschiebende Wirkung bundesrechtlicher Rechtsmittel im öffentlichen Recht, 2006, Rz. 301). Bei Auflagen ist nach deren Bedeutung für die Hauptsache zu unterscheiden. Betreffen sie nur untergeordnete Aspekte, können sie selbständig angefochten werden und die aufschiebende Wirkung bezieht sich lediglich auf die Auflage (SEILER, a.a.O., Rz. 50; vgl. auch BAUMBERGER, a.a.O., Rz. 307).</w:t>
      </w:r>
    </w:p>
    <w:p>
      <w:r>
        <w:rPr>
          <w:b/>
        </w:rPr>
        <w:t>E. 2.2</w:t>
      </w:r>
    </w:p>
    <w:p>
      <w:r>
        <w:t>Vorliegend wurde der Beschwerde die aufschiebende Wirkung durch die Vorinstanz nicht entzogen. In diesem Zusammenhang machte die Be- schwerdeführerin jedoch geltend, es bestehe ipso jure eine Beschrän- kung des Suspensiveffekts auf den Streitgegenstand, das heisst die an- gefochtene Nebenbestimmung. Entsprechend sei die Aufnahme von B._______ in die SL rechtswirksam und es müssten vorsorgliche Mass- nahmen angeordnet werden (vgl. dazu oben Bst. B). Dieser Argumentati- on kann allerdings nicht gefolgt werden:</w:t>
      </w:r>
    </w:p>
    <w:p>
      <w:r>
        <w:t>Vorliegend ist von einer gleichzeitig positiven (hinsichtlich der Aufnahme in die SL) und negativen (hinsichtlich der Auflage des Rückvergütungsan-</w:t>
      </w:r>
    </w:p>
    <w:p>
      <w:r>
        <w:t>C-4424/2022 Seite 9 teils) Verfügung auszugehen (vgl. oben E. 2.1.2). Die Ziffer 1 (Aufnahme in die SL) und Ziffer 3 (Rückvergütungsanteil) stehen sodann – wie von der Vorinstanz zu Recht vorgebracht (vgl. dazu oben Bst. E) – in einem engen sachlichen Zusammenhang. Die Aufnahme von B._______ in die SL zum PP von Fr. (…) je Packung mit (…) Filmtabletten zu (…) oder (…) mg Wirkstoff soll gemäss angefochtener Verfügung befristet mit einer Limitierung und unter der Auflage, dass die Beschwerdeführerin den Krankenversicherern einen festgelegten Anteil von Fr. (…) pro Packung rückvergütet, damit das Kriterium der Wirtschaftlichkeit (überhaupt) als er- füllt betrachtet werden kann, erfolgen (BVGer-act. 2 Beilage 2 Ziff. 2.3.5). In diesem Zusammenhang ist zu betonen, dass es sich im vorliegenden Fall um eine erstmalige Aufnahme in die SL handelt, nachdem in zwei vo- rangehenden Verfahren vor der Vorinstanz die Aufnahme beide Male mangels Wirtschaftlichkeit verweigert worden war (vgl. BVGer-act. 2 Bei- lage 2 Ziff. 2.3.2). Entsprechend kann die Ziffer 3 der angefochtenen Ver- fügung nicht als eine nur einen untergeordneten Aspekt betreffende Ne- benbestimmung qualifiziert werden, welche ohne Weiteres aus der ange- fochtenen Verfügung herausgelöst werden kann (vgl. dazu auch oben E. 2.1.4); die aufschiebende Wirkung der Beschwerde beschlägt mithin die gesamte Verfügung vom 13. September 2022. Damit wird im Übrigen auch dem Kriterium der Kontinuität, welchem erhebliches Gewicht zu- kommt, Rechnung getragen: Das Arzneimittel B._______ war seit der Zu- lassung durch Swissmedic am (…) 2018 (vgl. dazu [Website von Swiss- medic], besucht am 4. November 2022) nicht auf der SL aufgeführt. Die aufschiebende Wirkung hinsichtlich der gesamten Verfügung führt dazu, dass der Zustand weitergeführt wird, welcher bereits vor Verfügungser- lass bestand, nämlich, dass das Arzneimittel B._______ (weiterhin) nicht auf der SL zu führen ist.</w:t>
      </w:r>
    </w:p>
    <w:p>
      <w:r>
        <w:rPr>
          <w:b/>
        </w:rPr>
        <w:t>E. 3</w:t>
      </w:r>
    </w:p>
    <w:p>
      <w:r>
        <w:t>Vor dem Hintergrund, dass der gesamten Verfügung ipso jure aufschie- bende Wirkung zukommt (vgl. oben E. 2), ist über den Eventualantrag der Beschwerdeführerin auf teilweisen Entzug der aufschiebenden Wirkung zu befinden.</w:t>
      </w:r>
    </w:p>
    <w:p>
      <w:r>
        <w:rPr>
          <w:b/>
        </w:rPr>
        <w:t>E. 3.1</w:t>
      </w:r>
    </w:p>
    <w:p>
      <w:r>
        <w:t>Die Beschwerdeinstanz, ihr Vorsitzender oder der Instruktionsrichter kann einer Beschwerde gemäss Art. 55 Abs. 2 VwVG die aufschiebende Wirkung auf Antrag oder von Amtes wegen entziehen kann, sofern die angefochtene Verfügung – wie hier – keine Geldleistung zum Gegenstand hat. Die aufschiebende Wirkung kann auch bloss teilweise entzogen wer- den (SEILER, a.a.O., Art. 55 Rz. 99).</w:t>
      </w:r>
    </w:p>
    <w:p>
      <w:r>
        <w:t>C-4424/2022 Seite 10</w:t>
      </w:r>
    </w:p>
    <w:p>
      <w:r>
        <w:rPr>
          <w:b/>
        </w:rPr>
        <w:t>E. 3.1.1</w:t>
      </w:r>
    </w:p>
    <w:p>
      <w:r>
        <w:t>Die Frage, ob im Einzelfall der Suspensiveffekt zu belassen oder zu entziehen ist, ist aufgrund einer Interessenabwägung zu beurteilen. Zu prüfen ist dabei, ob die Gründe, die für die sofortige Vollstreckbarkeit der Verfügung sprechen, gewichtiger sind als jene, die für die gegenteilige Lösung angeführt werden können, wobei der Beschwerdeinstanz ein ge- wisser Beurteilungsspielraum zusteht und sie ihren Entscheid auf den Sachverhalt stützt, der sich aus den vorhandenen Akten ergibt, ohne zeit- raubende weitere Erhebungen anzustellen (BGE 117 V 185 E. 2b; vgl. SEILER, a.a.O., Art. 55 Rz. 92).</w:t>
      </w:r>
    </w:p>
    <w:p>
      <w:r>
        <w:rPr>
          <w:b/>
        </w:rPr>
        <w:t>E. 3.1.2</w:t>
      </w:r>
    </w:p>
    <w:p>
      <w:r>
        <w:t>Für den Entzug der aufschiebenden Wirkung müssen überzeugen- de Gründe von einer gewissen sachlichen und zeitlichen Dringlichkeit vor- liegen und durch den Entscheid über die aufschiebende Wirkung sind soweit möglich irreparable Nachteile und präjudizielle Wirkungen zu ver- meiden (vgl. SEILER, a.a.O., Art. 55 Rz. 94).</w:t>
      </w:r>
    </w:p>
    <w:p>
      <w:r>
        <w:rPr>
          <w:b/>
        </w:rPr>
        <w:t>E. 3.2</w:t>
      </w:r>
    </w:p>
    <w:p>
      <w:r>
        <w:t>Als Grund für den teilweisen Entzug der aufschiebenden Wirkung nennt die Beschwerdeführerin insbesondere das öffentliche Interesse an der möglichst baldigen Verfügbarkeit des Arzneimittels in der OKP, da den Patientinnen und Patienten, die den Wirkstoff D._______ nicht vertragen würden oder bei denen dieser Wirkstoff ungenügend wirke, aktuell keine Therapiealternativen zur Verfügung stehen würden (vgl. oben Bst. B). Diesbezüglich ist allerdings mit der Vorinstanz festzuhalten (vgl. oben Bst. E), dass B._______ den betroffenen Patientinnen und Patienten seit der Zulassung durch Swissmedic am (…) 2018 bereits im Rahmen der Einzelfallvergütung gemäss Art. 71a ff. KVV zur Verfügung steht, weshalb vorliegend insbesondere keine Dringlichkeit erkennbar ist. Entsprechend ist das von der Vorinstanz geltend gemachte öffentliche Interesse daran, ausschliesslich Arzneimittel in die SL aufzunehmen, welche die WZW- Kriterien erfüllen, höher zu gewichten, als die in erster Linie wirtschaftli- chen Interessen der Zulassungsinhaberin an einer sofortigen Aufnahme in die SL. Hinsichtlich des Vorbringens der Beschwerdeführerin, es drohe keine Präjudizierung des Beschwerdeentscheids, da sie im Falle ihres Unterliegens zur vollständigen Rückerstattung der Preisdifferenz an die Gemeinsame Einrichtung KVG verpflichtet und willens sei, weshalb dies der Situation im Falle einer Beschwerde gegen eine Preissenkung im Rahmen der dreijährlichen Überprüfung der Aufnahmebedingungen ent- spreche, ist der Vollständigkeit halber auf Folgendes hinzuweisen: Vorlie- gend handelt es sich, wie bereits in Erwägung 2.2 festgehalten, um eine erstmalige Aufnahme in die SL mit Limitation und Auflagen. Entsprechend unterscheidet sich der vorliegend zu beurteilende Fall wesentlich von der</w:t>
      </w:r>
    </w:p>
    <w:p>
      <w:r>
        <w:t>C-4424/2022 Seite 11 von der Beschwerdeführerin geltend gemachten Situation, in welcher die Arzneimittel bereits einmal als wirksam, zweckmässig und wirtschaftlich (Art. 32 Abs. 2 KVG) beurteilt worden sind und deshalb auf der SL geführt werden und daher das Kriterium der Kontinuität zu berücksichtigen ist (vgl. dazu auch oben E. 2.1.2 und 2.2). Somit besteht vorliegend keine Vergleichbarkeit mit SL-Verfahren betreffend die dreijährliche Preisüber- prüfung, in welchen das Bundesverwaltungsgericht die teilweise auf- schiebende Wirkung der Beschwerde bejaht hat (vgl. z.B. Urteil des BVGer C-415/2020 vom 16. November 2021 Bst. C-E mit Hinweis auf die Zwischenverfügung vom 4. Februar 2020; Zwischenverfügung des BVGer C-452/2018 vom 14. März 2018). Zusammenfassend ist der Eventualan- trag der Beschwerdeführerin um teilweisen Entzug der aufschiebenden Wirkung (hinsichtlich Ziffer 1 der angefochtenen Verfügung) abzuweisen.</w:t>
      </w:r>
    </w:p>
    <w:p>
      <w:r>
        <w:rPr>
          <w:b/>
        </w:rPr>
        <w:t>E. 4</w:t>
      </w:r>
    </w:p>
    <w:p>
      <w:r>
        <w:t>Damit erübrigt sich mangels Aufnahme des Arzneimittels B._______ auf die SL während der Dauer des vorliegenden Beschwerdeverfahrens der Entscheid über vorsorgliche Massnahmen hinsichtlich des Rückvergü- tungsanteils an die Krankenversicherer. Der entsprechende Verfahrens- antrag der Beschwerdeführerin sowie Eventualantrag der Vorinstanz ist demnach zufolge Gegenstandslosigkeit abzuschreiben.</w:t>
      </w:r>
    </w:p>
    <w:p>
      <w:r>
        <w:rPr>
          <w:b/>
        </w:rPr>
        <w:t>E. 5</w:t>
      </w:r>
    </w:p>
    <w:p>
      <w:r>
        <w:t>Die Stellungnahme der Vorinstanz vom 31. Oktober 2022 ist der Be- schwerdeführerin zur Kenntnis zu bringen. Weiter ist der Vorinstanz eine Frist bis zum 12. Dezember 2022 für die Vernehmlassung in der Haupt- sache sowie zur Einreichung der Vorakten (inkl. separatem Aktenver- zeichnis) anzusetzen.</w:t>
      </w:r>
    </w:p>
    <w:p>
      <w:r>
        <w:rPr>
          <w:b/>
        </w:rPr>
        <w:t>E. 6</w:t>
      </w:r>
    </w:p>
    <w:p>
      <w:r>
        <w:t>Die Kosten des Gesuchverfahrens sind zur Hauptsache zu 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