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C-4421/2022 vom 24. August 2022</w:t>
      </w:r>
    </w:p>
    <w:p>
      <w:r>
        <w:t>Bundesverwaltungsgericht, 2022-08-24, DE</w:t>
      </w:r>
    </w:p>
    <w:p>
      <w:r>
        <w:rPr>
          <w:b/>
        </w:rPr>
        <w:t xml:space="preserve">Quelle: </w:t>
      </w:r>
      <w:r>
        <w:t>https://mcp.opencaselaw.ch/entscheid/bvger_C-4421_2022_d20220824</w:t>
      </w:r>
    </w:p>
    <w:p>
      <w:r>
        <w:t>FR: TAF C-4421/2022 du 24 août 2022</w:t>
      </w:r>
    </w:p>
    <w:p>
      <w:r>
        <w:t>IT: TAF C-4421/2022 del 24 agosto 2022</w:t>
      </w:r>
    </w:p>
    <w:p>
      <w:pPr>
        <w:pStyle w:val="Heading2"/>
      </w:pPr>
      <w:r>
        <w:t>Regeste</w:t>
      </w:r>
    </w:p>
    <w:p>
      <w:r>
        <w:t>Zulassung von Spit&amp;auml;lern (Kanton) | Krankenversicherung, Spitalliste Akutsomatik; RRB Nr. 1104 vom 24. August 2022.</w:t>
      </w:r>
    </w:p>
    <w:p>
      <w:pPr>
        <w:pStyle w:val="Heading2"/>
      </w:pPr>
      <w:r>
        <w:t>Erwägungen</w:t>
      </w:r>
    </w:p>
    <w:p>
      <w:r>
        <w:rPr>
          <w:b/>
        </w:rPr>
        <w:t>E. 1</w:t>
      </w:r>
    </w:p>
    <w:p>
      <w:r>
        <w:t>Nach Art. 53 Abs. 1 KVG kann gegen Beschlüsse der Kantonsregierungen nach Art. 39 KVG beim Bundesverwaltungsgericht Beschwerde geführt werden. Der angefochtene Spitallistenbeschluss des Regierungsrats des Kantons Zürich vom 24. August 2022 wurde gestützt auf Art. 39 KVG er- lassen. Das Bundesverwaltungsgericht ist deshalb zur Beurteilung der Be- schwerde zuständig (vgl. auch Art. 90a Abs. 2 KVG). Die weiteren Sachur- teilsvoraussetzungen sind erfüllt, weshalb auf die Beschwerde einzutreten ist.</w:t>
      </w:r>
    </w:p>
    <w:p>
      <w:r>
        <w:rPr>
          <w:b/>
        </w:rPr>
        <w:t>E. 2.1</w:t>
      </w:r>
    </w:p>
    <w:p>
      <w:r>
        <w:t>Schliesslich ist der Streitgegenstand des vorliegenden Beschwerdever- fahrens zu bestimmen.</w:t>
      </w:r>
    </w:p>
    <w:p>
      <w:r>
        <w:rPr>
          <w:b/>
        </w:rPr>
        <w:t>E. 2.2</w:t>
      </w:r>
    </w:p>
    <w:p>
      <w:r>
        <w:t>Streitgegenstand im System der nachträglichen Verwaltungsrechts- pflege ist das Rechtsverhältnis, welches – im Rahmen des durch die Ver- fügung bestimmten Anfechtungsgegenstandes – den auf Grund der Be- schwerdebegehren effektiv angefochtenen Verfügungsgegenstand bildet. Nach dieser Begriffsumschreibung sind Anfechtungsgegenstand und Streitgegenstand identisch, wenn die Verfügung insgesamt angefochten wird. Bezieht sich demgegenüber die Beschwerde nur auf einen Teil des durch die Verfügung bestimmten Rechtsverhältnisses, gehören die nicht beanstandeten Teilaspekte des verfügungsweise festgelegten Rechtsver- hältnisses zwar wohl zum Anfechtungs-, nicht aber zum Streitgegenstand (BGE 125 V 413 E. 1b).</w:t>
      </w:r>
    </w:p>
    <w:p>
      <w:r>
        <w:rPr>
          <w:b/>
        </w:rPr>
        <w:t>E. 2.3</w:t>
      </w:r>
    </w:p>
    <w:p>
      <w:r>
        <w:t>Nach der Rechtsprechung ist die Spitalliste als Rechtsinstitut sui gene- ris zu qualifizieren. Für die Bestimmung des Anfechtungsgegenstandes ist wesentlich, dass die Spitalliste aus einem Bündel von Individualverfügun- gen besteht (BVGE 2013/45 E. 1.1.1; 2012/9 E. 3.2.6). Anfechtungsgegen- stand im vorliegenden Beschwerdeverfahren – und damit Begrenzung des Streitgegenstands – bildet nur die Verfügung, welche das die Beschwerde- führerin betreffende Rechtsverhältnis regelt. Die nicht angefochtenen Ver- fügungen der Spitalliste erwachsen in Rechtskraft (BVGE 2012/9 E. 3.3), was auch auf die nicht angefochtenen Teile der die Beschwerdeführerin betreffenden Verfügung zutrifft.</w:t>
      </w:r>
    </w:p>
    <w:p>
      <w:r>
        <w:rPr>
          <w:b/>
        </w:rPr>
        <w:t>E. 2.4</w:t>
      </w:r>
    </w:p>
    <w:p>
      <w:r>
        <w:t>Die Beschwerdeführerin hat die sie betreffende Verfügung des vor- instanzlichen Spitallistenbeschlusses nicht insgesamt angefochten. Die</w:t>
      </w:r>
    </w:p>
    <w:p>
      <w:r>
        <w:t>C-4421/2022 Seite 7 Beschwerde richtet sich lediglich gegen die Nichterteilung eines Leistungsauftrags für die Leistungsgruppe KAC, womit sich der Streitgegenstand hierauf beschränkt.</w:t>
      </w:r>
    </w:p>
    <w:p>
      <w:r>
        <w:rPr>
          <w:b/>
        </w:rPr>
        <w:t>E. 3.1</w:t>
      </w:r>
    </w:p>
    <w:p>
      <w:r>
        <w:t>Mit Beschwerde gegen einen Spitallistenentscheid im Sinne von Art. 39 Abs. 1 KVG kann die Verletzung von Bundesrecht unter Einschluss des Missbrauchs oder der Überschreitung des Ermessens und die unrichtige oder unvollständige Feststellung des rechtserheblichen Sachverhalts ge- rügt werden. Nicht zulässig ist hingegen die Rüge der Unangemessenheit (Art. 53 Abs. 2 Bst. e KVG i.V.m. Art. 49 VwVG). Bei der Spitalplanung und beim Erlass der Spitalliste verfügt der Kanton über einen erheblichen Er- messensspielraum (BVGE 2018 V/3 E. 4.1 mit Hinweisen).</w:t>
      </w:r>
    </w:p>
    <w:p>
      <w:r>
        <w:rPr>
          <w:b/>
        </w:rPr>
        <w:t>E. 3.2</w:t>
      </w:r>
    </w:p>
    <w:p>
      <w:r>
        <w:t>Das Bundesverwaltungsgericht ist nach dem Grundsatz der Rechtsan- 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FRITZ GYGI, Bundesverwaltungs- rechtspflege, 2. Aufl. 1983, S. 212; THOMAS HÄBERLI, in: Praxiskommentar Verwaltungsverfahrensgesetz, 3. Aufl. 2023, N 49 zu Art. 62).</w:t>
      </w:r>
    </w:p>
    <w:p>
      <w:r>
        <w:rPr>
          <w:b/>
        </w:rPr>
        <w:t>E. 4</w:t>
      </w:r>
    </w:p>
    <w:p>
      <w:r>
        <w:t>stationär 26 17</w:t>
      </w:r>
    </w:p>
    <w:p>
      <w:r>
        <w:rPr>
          <w:b/>
        </w:rPr>
        <w:t>E. 4.1</w:t>
      </w:r>
    </w:p>
    <w:p>
      <w:r>
        <w:t>In materieller Hinsicht rügt die Beschwerdeführerin mit Beschwerde vom 30. September 2022, der Regierungsrat habe im angefochtenen Be- schluss die Nichterteilung eines Leistungsauftrags in der Leistungsgruppe KAC mit der angestrebten Konzentration der Leistungserbringung und der genügenden Bedarfsdeckung durch andere, besser geeignete Leistungs- erbringer mit hohen bzw. höheren Fallzahlen und Erfahrung begründet, ohne zu beachten, dass die Beschwerdeführerin den geforderten Richtwert – mit Ausnahme der Jahre 2021 und 2022 (durch Covid-19 und den Umzug in einen Neubau bedingt) – jederzeit erfüllt habe.</w:t>
      </w:r>
    </w:p>
    <w:p>
      <w:r>
        <w:rPr>
          <w:b/>
        </w:rPr>
        <w:t>E. 4.2</w:t>
      </w:r>
    </w:p>
    <w:p>
      <w:r>
        <w:t>Die Durchführung eines bundesrechtskonformen Verwaltungsverfah- rens auf Erlass einer Verfügung, und damit die Gewährung des rechtlichen Gehörs, ist von Amtes wegen zu prüfen (BVGE 2013/45 E. 6.1). In formel- ler Hinsicht ist daher vorab zu prüfen, ob die Vorinstanz im Rahmen des Spitallistenverfahrens den Anspruch auf vorgängige Orientierung und die Begründungspflicht, die gemäss ständiger Lehre und Rechtsprechung zum</w:t>
      </w:r>
    </w:p>
    <w:p>
      <w:r>
        <w:t>C-4421/2022 Seite 8 gefestigten Bestand des Anspruchs auf rechtliches Gehör gemäss Art. 29 Abs. 2 BV, Art. 1 Abs. 3 i.V.m. Art. 35 Abs. 1 VwVG, Art. 18 Abs. 2 der Ver- fassung des Kantons Zürich (KV ZH; LS 101) sowie § 10 Abs. 1 des Ver- waltungsrechtspflegegesetzes des Kantons Zürich (VRG ZH; LS 175.2) gehören (vgl. RENÉ WIEDERKEHR/IVY ANGELLI ROSALES-GEYER, Anspruch auf Orientierung nach Art. 29 Abs. 2 BV, AJP 2018, S. 1261 mit Hinweisen), gewahrt hat.</w:t>
      </w:r>
    </w:p>
    <w:p>
      <w:r>
        <w:rPr>
          <w:b/>
        </w:rPr>
        <w:t>E. 4.3</w:t>
      </w:r>
    </w:p>
    <w:p>
      <w:r>
        <w:t>Der Anspruch auf rechtliches Gehör ist formeller Natur, weshalb seine Verletzung ungeachtet der materiellen Begründetheit des Rechtsmittels zur Gutheissung der Beschwerde und zur Aufhebung des angefochtenen Ent- scheids führt (BGE 137 I 195 E. 2.2; 135 I 187 E. 2.2 mit Hinweisen; WALD- MANN/BICKEL, in: Praxiskommentar Verwaltungsverfahrensgesetz, 3. Aufl. 2023, N 28 f. zu Art. 29).</w:t>
      </w:r>
    </w:p>
    <w:p>
      <w:r>
        <w:rPr>
          <w:b/>
        </w:rPr>
        <w:t>E. 4.4.1</w:t>
      </w:r>
    </w:p>
    <w:p>
      <w:r>
        <w:t>Gemäss der bundesgerichtlichen Rechtsprechung zum Recht auf Orientierung sind den Parteien genügende Kenntnisse über den Verfah- rensverlauf zu gewähren, was auf das Recht hinausläuft, in geeigneter Weise über die entscheidwesentlichen Vorgänge und Grundlagen vorweg orientiert zu werden. Dabei geht es nicht nur um formelle Abläufe wie ins- besondere die Abnahme von Beweisen, sondern auch um inhaltliche An- forderungen (BGE 140 I 99 E. 3.4 mit Hinweisen). Das Recht auf vorgän- gige Orientierung ist im Bewerbungsverfahren der Spitalplanung wesent- lich. Die interessierten Spitäler müssen unter anderem hinreichend darüber orientiert sein, welche Anforderungen für einzelne Leistungsgruppen zu er- füllen sind (FANKHAUSER/RUTZ, Spitalplanung und Spitalfinanzierung, in: SZS 2018, S. 293 mit Hinweisen). Auch Richtwerte zu Fallzahlen statuie- ren ähnlich wie absolute Mindestfallzahlgrenzen Anforderungen an die Spi- täler im Zusammenhang mit den zu erfüllenden Fallzahlen, räumen den Spitalplanungsbehörden jedoch ein grösseres Ermessen ein. Bei der Be- rücksichtigung von Richtwerten haben die Spitalplanungsbehörden in den Spitalplanungsgrundlagen zu erläutern, weshalb sie sich auf solche und nicht auf absolute (Mindest-)Fallzahlgrenzen stützen und inwiefern wissen- schaftliche Studien zur Bestimmung der massgebenden Richtwerte beige- zogen wurden. Es ist darzulegen, welche Gründe die Erteilung eines Leis- tungsauftrags trotz einer erheblichen Unterschreitung des Richtwerts resp. die Nichterteilung eines Leistungsauftrags trotz einer erheblichen Über- schreitung des Richtwerts rechtfertigen können. An dieser Stelle anzumer- ken ist, dass das Bundesverwaltungsgericht in seiner Rechtsprechung</w:t>
      </w:r>
    </w:p>
    <w:p>
      <w:r>
        <w:t>C-4421/2022 Seite 9 noch nicht materiell beurteilen musste, ob das Abstellen auf Richtwerte KVG- resp. KVV-konform ist.</w:t>
      </w:r>
    </w:p>
    <w:p>
      <w:r>
        <w:rPr>
          <w:b/>
        </w:rPr>
        <w:t>E. 4.4.2.1</w:t>
      </w:r>
    </w:p>
    <w:p>
      <w:r>
        <w:t>Im Folgenden ist zu prüfen, ob die Anforderungen für die Zuteilung eines Leistungsauftrags für die Leistungsgruppe KAC hinreichend klar und nachvollziehbar aus den Spitalplanungsgrundlagen hervorgehen.</w:t>
      </w:r>
    </w:p>
    <w:p>
      <w:r>
        <w:rPr>
          <w:b/>
        </w:rPr>
        <w:t>E. 4.4.2.2</w:t>
      </w:r>
    </w:p>
    <w:p>
      <w:r>
        <w:t>Wie die Spitalplanungsbehörden im Versorgungsbericht Zürcher Spitalplanung 2023 vom Juni 2021 (Vorakten 1.4.3; nachfolgend: Versor- gungsbericht) und im Strukturbericht Zürcher Spitalplanung 2023 vom Au- gust 2022 (Vorakten 1.7.1; nachfolgend: Strukturbericht) darlegen, wurden die vier neuen kinderanästhesiologischen SPLG KAA (Alter: ab Geburt), KAB (Alter: post Neonatalperiode), KAC (Alter: ab 3 Jahren) und KAD (Al- ter: ab 6–12 Jahren) eingeführt, weil Fachgremien einen Verbesserungs- bedarf bei der Versorgungsqualität festgestellt hatten. Diese basieren auf dem «Paediatric Anaesthesia Project 2030» der Schweizer Gesellschaft für Kinderanästhesie (SGKA) und der Schweizerischen Gesellschaft für Anäs- thesiologie und Perioperative Medizin (SSAPM). Die Anforderungen sind abhängig vom Alter und Anästhesierisiko der Kinder sowie von der Kom- plexität der Eingriffe. Sodann weisen die Spitalplanungsbehörden darauf hin, dass das Erfüllen der altersgruppenspezifischen Bedingungen für die Erteilung eines Leistungsauftrags vorausgesetzt wird. Dabei gelten 25 Ein- griffe pro Jahr und pro Facharzt und Fachärztin resp. Experte und Expertin Anästhesiepflege in jeder Altersgruppe als Richtwert. Die weitergehenden leistungsspezifischen Anforderungen Akutsomatik 2023.1 (Version 2023; gültig ab 1. Januar 2023; Vorakten 1.9.3) sehen vor, dass ein Kinderanäs- thesieteam mit Fachärzten und Fachärztinnen mit Kinderanästhesieerfah- rung und regelmässiger klinischer Praxis und Anästhesiepflegende mit Kin- deranästhesieerfahrung und regelmässiger klinischer Praxis vorhanden sein muss. Wann das Erfordernis einer regelmässigen klinischen Praxis erfüllt ist, ist für sich alleine unklar. Da die Vorinstanz jedoch einen Richt- wert von 25 Eingriffen festgesetzt hat, kann dies als genügende Konkreti- sierung dieser vagen Formulierung verstanden werden. Im Übrigen enthal- ten die Spitalplanungsgrundlagen keine näheren Ausführungen zur An- wendung des Richtwerts und zu möglichen Abweichungen von diesem. Auch finden sich in jenen keine Hinweise auf wissenschaftliche Grundla- gen zur Plausibilisierung des Richtwerts von 25 Eingriffen. Erst im Be- schwerdeverfahren – und damit verspätet – hat die Vorinstanz zu dieser Frage medizinische Fachartikel als Beilagen zu ihrer Vernehmlassung ins</w:t>
      </w:r>
    </w:p>
    <w:p>
      <w:r>
        <w:t>C-4421/2022 Seite 10 Recht gelegt (BVGer-act. 6, Beilagen 1 und 2). Infolgedessen ist eine Ver- letzung des Rechts auf vorgängige Orientierung zu bejahen.</w:t>
      </w:r>
    </w:p>
    <w:p>
      <w:r>
        <w:rPr>
          <w:b/>
        </w:rPr>
        <w:t>E. 4.4.2.3</w:t>
      </w:r>
    </w:p>
    <w:p>
      <w:r>
        <w:t>Zur Frage, weshalb die Spitalplanungsbehörden einen Richtwert von 25 und nicht eine (höhere) Mindestfallzahl heranzogen, führt die Vo- rinstanz ebenfalls erst in ihrer Vernehmlassung an, dass sie nicht bereits zu Beginn der Einführung der neuen Kinderanästhesie-Querschnittsberei- che die Anforderungen zu hoch ansetzen und den Aufwand einer Fallzah- lenerfassung pro Facharzt und Fachärztin vorerst vermeiden wollte. Weiter weist sie darauf hin, dass der Richtwert aus medizinwissenschaftlicher Per- spektive wesentlich höher sein müsste, da sich die Komplikationsrate bei weniger als 100 Fällen pro Jahr auf mehr als das Fünffache der Komplika- tionsrate bei über 200 Fällen pro Jahr beläuft. Letztlich sei der Richtwert von 25 aber gar nicht ausschlaggebend gewesen, da diejenigen Leistungs- erbringer, denen ein Leistungsauftrag für die Leistungsgruppe KAC erteilt worden sei, weit höhere Fallzahlen als die Beschwerdeführerin aufwiesen. Zwar genügen diese Ausführungen dem Anspruch des Beschwerdeführers auf vorgängige Orientierung; sie ergingen indes erst in der Vernehmlas- sung und damit zu spät. Ob die Festlegung eines Richtwerts auf lediglich 25 Fälle pro Anästhesist und Anästhesistin pro Jahr – sollten Richtwerte denn überhaupt zulässig sein (vgl. E. 4.3.1) – den in Art. 39 Abs. 2ter KVG verankerten Qualitätsanforderungen entspricht und damit bundesrechts- konform ist, ist Gegenstand der materiellen Beurteilung.</w:t>
      </w:r>
    </w:p>
    <w:p>
      <w:r>
        <w:rPr>
          <w:b/>
        </w:rPr>
        <w:t>E. 4.4.2.4</w:t>
      </w:r>
    </w:p>
    <w:p>
      <w:r>
        <w:t>Im Anhang (S.39) des Versorgungsberichts finden sich weitere An- forderungen für die Leistungsgruppen KAA (Alter: ab Geburt), KAB (Alter: post Neonatalperiode), KAC (Alter: ab 3 Jahren) und KAD (Alter: ab 6–12 Jahren), die tabellarisch aufgeführt sind. Für die Gruppe KAC zu beachten ist, dass hinsichtlich der Verfügbarkeit erforderlich ist, dass ein Facharzt oder eine Fachärztin Anästhesiologie innerhalb von 30 Minuten im Haus ist. Diese Anforderung ist hinreichend klar und nachvollziehbar formuliert.</w:t>
      </w:r>
    </w:p>
    <w:p>
      <w:r>
        <w:rPr>
          <w:b/>
        </w:rPr>
        <w:t>E. 4.4.2.5</w:t>
      </w:r>
    </w:p>
    <w:p>
      <w:r>
        <w:t>Zuletzt ist darauf hinzuweisen, dass das Recht auf vorgängige Ori- entierung auch die Festlegung der für das Evaluationsverfahren massge- benden Datenjahre in den Spitalplanungsgrundlagen erfasst. Vorliegend ist aus den sich in den Akten befindlichen Spitalplanungsgrundlagen nicht er- sichtlich, auf welche Datenjahre die Vorinstanz abgestellt hat. Der Struk- turbericht enthält einzig den Hinweis, dass Leistungsdaten des Jahres 2020 auf Grund der Covid-Pandemie nicht berücksichtigt worden seien (Vorakten 1.7.1, S. 23). Denkbar ist, dass sich bei der Erfassung der Daten auf der Bewerbungsplattform ein entsprechender Hinweis auf die</w:t>
      </w:r>
    </w:p>
    <w:p>
      <w:r>
        <w:t>C-4421/2022 Seite 11 massgebenden Datenjahre befand. Sollte dies nicht der Fall sein, obliegt es der Vorinstanz, die Beschwerdeführerin hierüber zu orientieren.</w:t>
      </w:r>
    </w:p>
    <w:p>
      <w:r>
        <w:rPr>
          <w:b/>
        </w:rPr>
        <w:t>E. 4.5.1</w:t>
      </w:r>
    </w:p>
    <w:p>
      <w:r>
        <w:t>Sodann ist die Begründungspflicht wesentlicher Bestandteil des An- spruchs auf rechtliches Gehör. Die Begründung soll verhindern, dass sich die Behörde von unsachlichen Motiven leiten lässt, und dem Betroffenen ermöglichen, die Verfügung gegebenenfalls sachgerecht anzufechten (BGE 143 III 65 E. 5.2).</w:t>
      </w:r>
    </w:p>
    <w:p>
      <w:r>
        <w:rPr>
          <w:b/>
        </w:rPr>
        <w:t>E. 4.5.2</w:t>
      </w:r>
    </w:p>
    <w:p>
      <w:r>
        <w:t>Mit Blick auf die Begründungspflicht im Spitalplanungsverfahren ist zu bedenken, dass die Auswahl des Spitallistenangebots in einem zweistu- figen Verfahren erfolgt. Auf der ersten Stufe erfolgt die Auswahl der zur Leistungserbringung grundsätzlich geeigneten Spitäler. Besteht ein Über- angebot an geeigneten Spitälern, ist auf der zweiten Stufe eine Auswahl- entscheidung zwischen den sich bewerbenden Spitälern zu treffen. Die Krankenversicherungsverordnung nimmt keine Trennung dieser Schritte vor, sondern stellt im Sinne materieller Mindestanforderungen lediglich ei- nen allgemeinen Kriterienkatalog zur Verfügung (NADJA LÜTHI, Spitalpla- nung im wettbewerbsorientierten Umfeld – Bestandesaufnahme und Ana- lyse, Basel 2022, S. 163 Rz. 374). Aus den Spitalplanungsgrundlagen und dem Spitalplanungs- und -finanzierungsgesetz des Kantons Zürich (SPFG; LS 813.20) geht indes klar hervor, dass ein zweistufiges Auswahlverfahren zur Anwendung gelangt. Der Versorgungsbericht erläutert das Vorgehen bei der Vergabe der Leistungsaufträge folgendermassen: In der Phase I wird geprüft, ob die Leistungserbringer die generellen und leistungsspezi- fischen Anforderungen und die weiteren Anforderungen gemäss § 5 Abs. 1 SPFG erfüllen. Sofern mehrere potenzielle Leistungserbringer die Anforde- rungen erfüllen, werden gemäss § 6 Abs. 1 Bst. c SPFG in Phase II die bestmöglichen Bewerber ausgewählt. Das Auswahlermessen der Spital- planungsbehörden kommt in erster Linie auf der zweiten Stufe zum Tragen. Aus der Begründung der Nichterteilung eines Leistungsauftrags muss – zumindest implizit – hervorgehen, auf welcher Stufe der Beschluss zur Nichterteilung eines Leistungsauftrags erfolgte, damit den sich bewerben- den Spitälern eine allfällige sachgerechte Anfechtung ermöglicht wird.</w:t>
      </w:r>
    </w:p>
    <w:p>
      <w:r>
        <w:rPr>
          <w:b/>
        </w:rPr>
        <w:t>E. 4.5.3</w:t>
      </w:r>
    </w:p>
    <w:p>
      <w:r>
        <w:t>Die Begründung der Nichterteilung eines Leistungsauftrags für die Leistungsgruppe KAC unter Hinweis darauf, dass der Bedarf an entspre- chenden Leistungen mit anderen, besser geeigneten Leistungserbringern mit wesentlich höheren Fallzahlen gedeckt werden könne, erweckt den</w:t>
      </w:r>
    </w:p>
    <w:p>
      <w:r>
        <w:t>C-4421/2022 Seite 12 Eindruck, dass die Vorinstanz das Kriterium der grundsätzlichen Eignung – das Vorliegen der generellen und (weitergehenden) leistungsspezifi- schen Voraussetzungen – der Beschwerdeführerin bejahte und diese erst auf der zweiten Stufe des Auswahlverfahrens nicht berücksichtigte. Auch war die Beschwerdeführerin der Ansicht, dass es unbestritten sei, dass sie sämtliche Anforderungen für den Erhalt eines Leistungsauftrags für die Gruppe KAC erfülle (BVGer-act. 1, S. 10). Erst aus der Vernehmlassung der Vorinstanz – und damit verspätet – geht hervor, dass diese der Auffas- sung ist, die Fallzahlen der Beschwerdeführerin seien für die Gewährung der Patientensicherheit zu tief. Auch enthalten die Spitalplanungsgrundla- gen keine Hinweise darauf, auf welcher Stufe des Auswahlverfahrens der Richtwert von 25 zu berücksichtigen ist.</w:t>
      </w:r>
    </w:p>
    <w:p>
      <w:r>
        <w:rPr>
          <w:b/>
        </w:rPr>
        <w:t>E. 4.5.4</w:t>
      </w:r>
    </w:p>
    <w:p>
      <w:r>
        <w:t>Ferner ist zu beachten, dass an die Begründungsdichte von Verfü- gungen im Zusammenhang mit Spitallisten aufgrund des den Behörden zustehenden Ermessenspielraums und der Komplexität der Materie er- höhte Anforderungen zu stellen sind (Urteil BVGer C-5576/2011 E. 6.3). Die verfügende Behörde muss im Rahmen ihrer Begründung nachvollzieh- bar darlegen, welche Gründe für sie ausschlaggebend waren und insbe- sondere, ob die massgebenden Kriterien erfüllt oder inwieweit sie verfehlt wurden (NADJA LÜTHI, a.a.O., S. 167 mit Hinweis auf Urteil des BVGer C- 5576/2011 vom 2. Juni 2014 E. 6.3). Sofern für die Nichterteilung eines Leistungsauftrags entscheidrelevant, ist – unter Wahrung allfälliger Ge- heimhaltungsinteressen – aufzuzeigen, in welchen Bereichen konkurrie- rende Spitäler im Vergleich besser abschneiden.</w:t>
      </w:r>
    </w:p>
    <w:p>
      <w:r>
        <w:rPr>
          <w:b/>
        </w:rPr>
        <w:t>E. 4.5.5.1</w:t>
      </w:r>
    </w:p>
    <w:p>
      <w:r>
        <w:t>Fraglich ist, ob die Überlegungen der Vorinstanz, die ihrem Ent- scheid zur Nichterteilung eines Leistungsauftrags für die Leistungsgruppe KAC an die Beschwerdeführerin zugrunde liegen, rechtsgenüglich aus der angefochtenen Verfügung hervorgehen.</w:t>
      </w:r>
    </w:p>
    <w:p>
      <w:r>
        <w:rPr>
          <w:b/>
        </w:rPr>
        <w:t>E. 4.5.5.2</w:t>
      </w:r>
    </w:p>
    <w:p>
      <w:r>
        <w:t>Die Beschwerdeführerin weist für die Jahre 2018–2021 über fol- gende Fallzahlen für die Leistungsgruppe KAC auf (BVGer act. 1, S. 11):</w:t>
      </w:r>
    </w:p>
    <w:p>
      <w:r>
        <w:t>2018 2019 2020 2021 ambulant 10</w:t>
      </w:r>
    </w:p>
    <w:p>
      <w:r>
        <w:rPr>
          <w:b/>
        </w:rPr>
        <w:t>E. 4.5.5.3</w:t>
      </w:r>
    </w:p>
    <w:p>
      <w:r>
        <w:t>Folglich vermag die Begründung der Nichterteilung eines Leis- tungsauftrags an die Beschwerdeführerin unter Hinweis darauf, dass der Bedarf an Leistungen mit anderen, besser geeigneten Leistungserbringern</w:t>
      </w:r>
    </w:p>
    <w:p>
      <w:r>
        <w:t>C-4421/2022 Seite 14 mit wesentlich höheren Fallzahlen gedeckt werden könne, den Anforderun- gen an die Begründungspflicht nicht zu genügen.</w:t>
      </w:r>
    </w:p>
    <w:p>
      <w:r>
        <w:rPr>
          <w:b/>
        </w:rPr>
        <w:t>E. 4.6</w:t>
      </w:r>
    </w:p>
    <w:p>
      <w:r>
        <w:t>Zusammengefasst hat die Vorinstanz den Anspruch der Beschwerdeführerin auf rechtliches Gehör gemäss Art. 29 Abs. 2 BV, Art. 1 Abs. 3 i.V.m. Art. 35 Abs. 1 VwVG, Art. 18 Abs. 2 KV ZH sowie § 10 Abs. 1 VRG ZH verletzt, da diese nicht rechtsgenüglich über entscheidrelevante Grundlagen des Auswahlverfahrens orientiert wurde und der Spitallistenbeschluss, soweit dieser dessen Rechtsverhältnis betrifft, mangelhaft begründet ist. Eine Heilung der Gehörsverletzung fällt grundsätzlich ausser Betracht, da das Bundesverwaltungsgericht einzige Beschwerdeinstanz ist und im vorliegenden Beschwerdeverfahren nur über eine eingeschränkte Überprüfungsbefugnis verfügt (vgl. E. 3.1). Der angefochtene Spitallistenbeschluss ist insoweit aufzuheben, als er die Nichterteilung eines Leistungsauftrags in der Leistungsgruppe KAC an die Beschwerdeführerin betrifft. Die Sache ist zur neuen Verfügung unter Wahrung des rechtlichen Gehörs im Sinne der Erwägungen an die Vorinstanz zurückzuweisen. 5. 5.1 Das Bundesverwaltungsgericht auferlegt die Verfahrenskosten in der Regel der unterliegenden Partei. Unterliegt diese nur teilweise, so werden die Verfahrenskosten ermässigt (Art. 63 Abs. 1 VwVG). Der Vorinstanz werden keine Verfahrenskosten auferlegt (Art. 63 Abs. 2 VwVG). Da die Rückweisung aufgrund eines Verfahrensfehlers der Vorinstanz erfolgt, hat die Beschwerdeführerin als vollständig obsiegend zu gelten (vgl. MOSER ET AL., Prozessieren vor dem Bundesverwaltungsgericht, 3. Aufl., S. 295, Fn. 142 zu Rz. 4.43). Es sind daher keine Verfahrenskosten zu erheben und der Beschwerdeführerin ist der geleistete Kostenvorschuss zurückzu- erstatten. 5.2 Als obsiegende Partei hat die Beschwerdeführerin Anspruch auf eine Parteientschädigung für die ihr erwachsenen notwendigen und verhältnis- mässig hohen Kosten (Art. 64 Abs. 1 VwVG; Art. 7 ff. des Reglements vom 21. Februar 2008 über die Kosten und Entschädigungen vor dem Bundes- verwaltungsgericht [VGKE, SR 173.320.2]). Die Entschädigung ist von der Vorinstanz zu leisten (vgl. Art. 64 Abs. 2 VwVG). Mangels Kostennote ist die Entschädigung aufgrund der Akten festzusetzen (vgl. Art. 14 Abs. 2 VGKE). Unter Berücksichtigung des gebotenen Aufwandes erscheint eine</w:t>
      </w:r>
    </w:p>
    <w:p>
      <w:r>
        <w:t>C-4421/2022 Seite 15 Entschädigung von CHF 6'000.– (inkl. Mehrwertsteuerzuschlag im Sinne von Art. 9 Abs. 1 Bst. c VGKE) angemessen. 6. Die Beschwerde in öffentlich-rechtlichen Angelegenheiten an das Bundes- gericht gegen Entscheide auf dem Gebiet der Krankenversicherung, die das Bundesverwaltungsgericht gestützt auf Art. 33 Bst. i VGG in Verbin- dung mit Art. 53 Abs. 1 KVG getroffen hat, ist gemäss Art. 83 Bst. r BGG unzulässig. Das vorliegende Urteil ist somit endgültig (vgl. auch BGE 141 V 361).</w:t>
      </w:r>
    </w:p>
    <w:p>
      <w:r>
        <w:t>C-4421/2022 Seite 16</w:t>
      </w:r>
    </w:p>
    <w:p>
      <w:r>
        <w:rPr>
          <w:b/>
        </w:rPr>
        <w:t>E. 10</w:t>
      </w:r>
    </w:p>
    <w:p>
      <w:r>
        <w:t>C-4421/2022 Seite 13 Total 36 21 22</w:t>
      </w:r>
    </w:p>
    <w:p>
      <w:r>
        <w:rPr>
          <w:b/>
        </w:rPr>
        <w:t>E. 14</w:t>
      </w:r>
    </w:p>
    <w:p>
      <w:r>
        <w:t>Wie erwähnt, begründet die Vorinstanz die Nichterteilung eines Leistungs- auftrags für die Gruppe KAC an die Beschwerdeführerin im Spitallistenbe- schluss damit, dass der Bedarf an entsprechenden Leistungen mit ande- ren, besser geeigneten Leistungserbringern mit bisher wesentlich höheren Fallzahlen gedeckt werden könne. Die knappe und undifferenzierte Be- gründung vermag nicht aufzuzeigen, welche konkreten Anforderungen die Beschwerdeführerin nicht erfüllt hat. Es unterbleibt die erforderliche Ausei- nandersetzung mit den Fallzahlen der Beschwerdeführerin. So vermag diese immerhin für die Jahre 2018, 2019 und 2020 Fallzahlen aufzuweisen, die den Richtwert von 25 überschreiten resp. nur um wenige Fälle unter- schreiten. Für das Jahr 2021 weist sie indes eine Fallzahl von 14 auf, die den Richtwert erheblich unterschreitet. Auch bestehen grundlegende Un- klarheiten hinsichtlich der Feststellung der Fallzahlen pro Facharzt resp. Fachärztin. So ist die Höhe der Fallzahlen, die auf die einzelnen Anästhe- sisten und Anästhesistinnen fällt, im Kanton Zürich gar nicht bekannt. Es oblag der Vorinstanz, spätestens mit dem Spitallistenbeschluss zu begrün- den, welches Vorgehen sie angesichts dieses Umstands wählt. Wie sie dies in ihrer Vernehmlassung nahelegt, besteht ein mögliches Vorgehen darin, für die Leistungsgruppe KAC die Fallzahlen pro Spital durch die An- zahl der Fachärzte und Fachärztinnen, die zur Durchführung von entspre- chenden Kinderanästhesien qualifiziert sind, zu dividieren. Selbst aus den verspäteten Ausführungen der Vorinstanz in ihrer Vernehmlassung geht nicht nachvollziehbar hervor, wie sie die für das Evaluationsverfahren mas- sgebenden Fallzahlen der einzelnen Spitäler konkret ermittelt hat. Es ent- steht gar der Eindruck, sie habe lediglich bei der Beschwerdeführerin eine Division der Fallzahlen vorgenommen und bei konkurrierenden Spitälern auf die Fallzahlen pro Standort für die Leistungsgruppe KAC abgestellt. Zudem unterlässt es die Vorinstanz zu begründen, ob und aus welchen Gründen sie einzig die stationären oder auch die ambulanten Fallzahlen berücksichtigte. Im Übrigen sind zur Nachvollziehbarkeit des Auswahlent- scheids die Fallzahlen und die Anzahl der Fachärzte und Fachärztinnen konkurrierender Spitäler, die zur Durchführung von entsprechenden Kin- deranästhesien qualifiziert sind, offenzulegen.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