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C-441/2012 vom 13. Februar 2013</w:t>
      </w:r>
    </w:p>
    <w:p>
      <w:r>
        <w:t>Bundesverwaltungsgericht, 2013-02-13, IT</w:t>
      </w:r>
    </w:p>
    <w:p>
      <w:r>
        <w:rPr>
          <w:b/>
        </w:rPr>
        <w:t xml:space="preserve">Quelle: </w:t>
      </w:r>
      <w:r>
        <w:t>https://mcp.opencaselaw.ch/entscheid/bvger_C-441_2012</w:t>
      </w:r>
    </w:p>
    <w:p>
      <w:r>
        <w:t>FR: TAF C-441/2012 du 13 février 2013</w:t>
      </w:r>
    </w:p>
    <w:p>
      <w:r>
        <w:t>IT: TAF C-441/2012 del 13 febbraio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visto che la procedura di revisione è stata iniziata nel 2010, ma non le norme della 6a revisione della LAI (primo pacchetto di misure), in vigore dal 1° gennaio 2012 (RU 2011 5659; FF 2010 1603). Sono inoltre applicabili le disposizioni della LPGA, se e per quanto la LAI lo preveda (art. 2 LPGA).</w:t>
      </w:r>
    </w:p>
    <w:p>
      <w:r>
        <w:rPr>
          <w:b/>
        </w:rPr>
        <w:t>E. 4</w:t>
      </w:r>
    </w:p>
    <w:p>
      <w:r>
        <w:t>Il ricorrente contesta la fondatezza della decisione dell'8 dicembre 2011, rivendicando il diritto ad una rendita intera d'invalidità da aprile 2010.</w:t>
      </w:r>
    </w:p>
    <w:p>
      <w:r>
        <w:rPr>
          <w:b/>
        </w:rPr>
        <w:t>E. 5.1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5.4</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La riduzione o la soppressione della rendita è messa in atto, il più presto, il primo giorno del secondo mese che segue la notifica della decisione (art. 88bis cpv. 2 lett. a OAI).</w:t>
      </w:r>
    </w:p>
    <w:p>
      <w:r>
        <w:rPr>
          <w:b/>
        </w:rPr>
        <w:t>E. 6.4</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il periodo d'esame intercorre tra il 28 novembre 2005, data della decisione su opposizione della SVA, e l'8 dicembre 2011, data della decisione qui impugnata.</w:t>
      </w:r>
    </w:p>
    <w:p>
      <w:r>
        <w:rPr>
          <w:b/>
        </w:rPr>
        <w:t>E. 7</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Dai documenti medici all'incarto e, in particolare, dalla perizia particolareggiata E 213 del dott. D._______, medico dell'INPS, del 27 settembre 2010 (incarto UAIE, doc. 39), dalla perizia pluridisciplinare della dott.ssa E._______e del dott. F._______, medici del SAM, del 22 settembre 2011 (incarto UAIE, doc. 66), e dal rapporto finale del dott. C._______, medico dell'UAIE, del 14 ottobre 2011 (incarto UAIE, doc. 69), si evince la diagnosi, con influenza sulla capacità lavorativa, di periartropatia omeroscapolare tendinopatica della spalla sinistra, di sindrome lombovertebrale con componente spondilogena, a sinistra più che a destra, d'epatite cronica HBV correlata, attualmente con modico rialzo dell'ALAT, inferiore a due volte la norma, e con funzione epatica normale, e di sindrome mista ansioso-depressiva, nonché la diagnosi, ininfluente sulla capacità lavorativa, di cervicalgie, d'emocromatosi, di lieve esofagite e di sovrappeso. Questa diagnosi è univoca agli atti e non è contestata dal ricorrente, dimodoché questo Tribunale non può che adottarla.</w:t>
      </w:r>
    </w:p>
    <w:p>
      <w:r>
        <w:rPr>
          <w:b/>
        </w:rPr>
        <w:t>E. 8.2</w:t>
      </w:r>
    </w:p>
    <w:p>
      <w:r>
        <w:t>Nell'ambito della procedura di revisione il dott. D._______ ha indicato, nella sua perizia E 213, un peggioramento delle condizioni di salute del ricorrente, fissando un grado d'invalidità, secondo criteri propri del diritto italiano, del 70%. Su incarico dell'UAIE, i medici del SAM hanno valutato, da maggio 2004, in riferimento al rapporto della dott.ssa B._______, del 26 gennaio 2005, una capacità lavorativa del 20% per l'attività di macchinista edile, e ciò dai soli punti di vista psichiatrico, reumatologico e gastroenterologico, con diverse limitazioni funzionali, e del 60%, nel senso di un rendimento ridotto sull'arco di un normale orario lavorativo, in occupazioni confacenti medioleggere. I periti hanno ammesso un certo peggioramento dello stato di salute, sul piano psichiatrico, da agosto 2007, comportante per qualsiasi attività una riduzione del rendimento del 20%, definito però essere non cumulabile poiché relativo a restrizioni, ossia una maggiore lentezza, discontinuità ed affaticabilità, nonché una minore resistenza al lavoro, comuni a quelle dovute ai problemi reumatologici e gastroenterologici. Sul piano psichico, la dott.ssa I._______ ha constatato, nel suo rapporto del 15 settembre 2011 (incarto UAIE, doc. 65), che dall'agosto 2007, con il subentrare di ulteriori problemi di salute (patologia epatica), si è verificata una situazione particolarmente stressante dal punto di vista emotivo, che è sfociata in un vero e proprio disturbo ansioso-depressivo cronicizzato, con sintomi dell'ansia e della depressione permanenti, ma lievi, non essendo infatti così evidenti da giustificare una diagnosi se considerati separatamente. La psichiatra ha completato il suo parere osservando che il funzionamento familiare e sociale del ricorrente è discreto, per concludere che il quadro psicopatologico obiettivato permane di lieve entità e risulta interferire in modo continuo sulla capacità lavorativa in una misura non superiore al 20%. Dal canto suo, il dott. C._______ ha preso atto delle conclusioni della perizia del SAM, nel suo rapporto finale del 14 ottobre 2011, ed ha rilevato che lo stato di salute del ricorrente è rimasto sostanzialmente immutato da maggio 2004, se si eccettua l'insorgere della sindrome ansioso-depressiva nell'agosto 2007, la quale non ha però un'influenza autonoma, rispetto ai problemi reumatologici e gastroenterologici, sulla capacità lavorativa, come hanno argomentato gli specialisti del SAM. Il medico dell'UAIE ha confermato il suo parere a due ulteriori occasioni, il 31 maggio e 12 agosto 2012 (incarto UAIE, doc. 83 e 85), rimarcando che la detta affezione psichiatrica, se ben curata, guarisce normalmente nell'arco di qualche mese, che essa si è manifestata dopo l'esecuzione della perizia del SAM e che la sua gravità non risulta essersi manifestata prima dell'emissione della decisione impugnata.</w:t>
      </w:r>
    </w:p>
    <w:p>
      <w:r>
        <w:rPr>
          <w:b/>
        </w:rPr>
        <w:t>E. 8.3</w:t>
      </w:r>
    </w:p>
    <w:p>
      <w:r>
        <w:t>Visto quanto precede, questo Tribunale deve ammettere, seguendo il chiaro parere dei periti del SAM e del medico dell'UAIE, che lo stato di salute del ricorrente, durante il periodo d'esame pertinente, ossia dal 28 novembre 2005 all'8 dicembre 2011, non si è deteriorato, in particolare dal punto di vista psichiatrico, in modo tale da ripercuotersi sensibilmente sulla capacità lavorativa e, di riflesso, sul grado d'invalidità, dimodoché continua a sussistere il diritto ad una mezza rendita, così come stabilito a giusto titolo dall'UAIE. Peraltro, il ricorrente potrà presentare un'ulteriore domanda di revisione in relazione ad un eventuale nuovo peggioramento della sua sindrome ansioso-depressiva.</w:t>
      </w:r>
    </w:p>
    <w:p>
      <w:r>
        <w:rPr>
          <w:b/>
        </w:rPr>
        <w:t>E. 9</w:t>
      </w:r>
    </w:p>
    <w:p>
      <w:r>
        <w:t>Di conseguenza, il ricorso deve essere respinto e la decisione impugnata confermata.</w:t>
      </w:r>
    </w:p>
    <w:p>
      <w:r>
        <w:rPr>
          <w:b/>
        </w:rPr>
        <w:t>E. 10</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11</w:t>
      </w:r>
    </w:p>
    <w:p>
      <w:r>
        <w:t>Secondo l'art. 63 cpv. 1 PA, le spese processuali sono di regola messe a carico della parte soccombente. In concreto, visto l'esito della procedura, le spese processuali di Fr. 400.- sono poste a carico del ricorrente e compensate con l'anticipo versato il 17 settembre 2012. In conformità con l'art. 64 cpv. 1 PA, l'autorità di ricorso, se ammette il ricorso in tutto o in parte, può assegnare al ricorrente un'indennità per le spese indispensabili e relativamente elevate che ha sopportato (spese ripetibili). Visto l'esito della procedura, non si assegnano al ricorrente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