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C-4405/2017 vom 20. Februar 2019</w:t>
      </w:r>
    </w:p>
    <w:p>
      <w:r>
        <w:t>Bundesverwaltungsgericht, 2019-02-20, DE</w:t>
      </w:r>
    </w:p>
    <w:p>
      <w:r>
        <w:rPr>
          <w:b/>
        </w:rPr>
        <w:t xml:space="preserve">Quelle: </w:t>
      </w:r>
      <w:r>
        <w:t>https://mcp.opencaselaw.ch/entscheid/bvger_C-4405_2017</w:t>
      </w:r>
    </w:p>
    <w:p>
      <w:r>
        <w:t>FR: TAF C-4405/2017 du 20 février 2019</w:t>
      </w:r>
    </w:p>
    <w:p>
      <w:r>
        <w:t>IT: TAF C-4405/2017 del 20 febbraio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worden ist, ist auf sie einzutreten (Art. 60 ATSG, Art. 52 VwVG).</w:t>
      </w:r>
    </w:p>
    <w:p>
      <w:r>
        <w:rPr>
          <w:b/>
        </w:rPr>
        <w:t>E. 2.1</w:t>
      </w:r>
    </w:p>
    <w:p>
      <w:r>
        <w:t>Der Beschwerdeführer ist Schweizer Staatsbürger und lebt in Thailand. Da die Schweiz mit Thailand keinen Staatsvertrag über Leistungen der Alters- und Hinterlassenenversicherung abgeschlossen hat, bestimmt sich die Frage, ob vorliegend ein Anspruch auf Leistungen der schweizerischen AHV besteht, ausschliesslich aufgrund der schweizerischen Rechtsvorschriften (vgl. z. B. Urteil des BVGer C-6920/2016 vom 8. Oktober 2018 E. 4.1).</w:t>
      </w:r>
    </w:p>
    <w:p>
      <w:r>
        <w:rPr>
          <w:b/>
        </w:rPr>
        <w:t>E. 2.2</w:t>
      </w:r>
    </w:p>
    <w:p>
      <w:r>
        <w:t>Weil in zeitlicher Hinsicht grundsätzlich diejenigen Rechtssätze massgebend sind, die bei der Erfüllung des zu Rechtsfolgen führenden Tatbestandes Geltung haben, und weil ferner die Gerichte bei der Beurteilung eines Falles grundsätzlich auf den nach Antrag vom 9. Oktober 2016 bis zum Zeitpunkt des angefochtenen Verwaltungsaktes, hier des Einspracheentscheides vom 10. Juli 2017, eingetretenen Sachverhalt abstellen (BGE 130 V 329; BGE 129 V 4 E. 1.2 mit Hinweisen), werden im Folgenden die ab 1. Januar 2016 anwendbaren materiellen Bestimmungen des ATSG, des AHVG sowie der AHVV (SR 831.101)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Das ATSG sieht hierzu präzisierend vor, dass wer Versicherungsleistungen beansprucht, unentgeltlich alle Auskünfte erteilen muss, die zur Abklärung des Anspruchs und zur Festsetzung der Versicherungsleistungen erforderlich sind (Art. 28 Abs. 2 ATSG).</w:t>
      </w:r>
    </w:p>
    <w:p>
      <w:r>
        <w:rPr>
          <w:b/>
        </w:rPr>
        <w:t>E. 3.3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würdigen (BGE 125 V 351 E. 3a).</w:t>
      </w:r>
    </w:p>
    <w:p>
      <w:r>
        <w:rPr>
          <w:b/>
        </w:rPr>
        <w:t>E. 4.1</w:t>
      </w:r>
    </w:p>
    <w:p>
      <w:r>
        <w:t>Der Beschwerdeführer macht beschwerdeweise unter anderem geltend, die Vorinstanz habe die eingereichten Belege zur Hausgemeinschaft seiner Tochter mit ihm ungenügend geprüft und die angegebenen Zeugen weder kontaktiert noch angehört. Der Entscheid sei auch nicht nachvollziehbar. Vorab ist demnach zu prüfen, ob die Vorinstanz das rechtliche Gehör des Beschwerdeführers verletzt hat.</w:t>
      </w:r>
    </w:p>
    <w:p>
      <w:r>
        <w:rPr>
          <w:b/>
        </w:rPr>
        <w:t>E. 4.2.1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4.2.2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4.3</w:t>
      </w:r>
    </w:p>
    <w:p>
      <w:r>
        <w:t>Die Vorinstanz führte in ihrer Verfügung vom 11. April 2017 aus, Pflege- und Stiefkinder hätten einen Anspruch auf eine Leistung der Altersversicherung, wenn sie unentgeltlich und dauernd in die Hausgemeinschaft aufgenommen worden seien. Sie begründete in der Folge ihre Abweisung damit, dass die Stieftochter des Versicherten gemäss der eingereichten Dokumente nicht an der Adresse des Versicherten wohne. Weiter seien keine Bescheinigungen vorgelegt worden, dass der Beschwerdeführer das Stiefkind finanziell unterstütze (vgl. SAK 53). Im Einspracheentscheid vom 10. Juli 2017 führte sie aus, der gemeinsame Wohnsitz lasse sich durch eine Bestätigung des örtlichen Einwohneramts (für alle Familienmitglieder) erbringen. Es sei weiter erforderlich zu belegen, dass der AHV-Rentenbezüger für den Unterhalt der Stieftochter aufkomme. Ausserdem bedürfe es für die Zeit vor der Heirat für den Anspruch auf eine Pflegekinderrente eines behördlich genehmigten Pflegevertrags. Ihre Schlussforderung begründete sie im Wesentlichen damit, dass das Stiefkind nicht an derselben Adresse wie der Versicherte wohne, ein Pflegevertrag nicht vorgelegt worden sei, und für den Unterhalt keinerlei Belege vorhanden seien.</w:t>
      </w:r>
    </w:p>
    <w:p>
      <w:r>
        <w:rPr>
          <w:b/>
        </w:rPr>
        <w:t>E. 4.4.1</w:t>
      </w:r>
    </w:p>
    <w:p>
      <w:r>
        <w:t>Gestützt auf die dargelegten Anforderungen an das rechtliche Gehör eines Versicherten (oben 4.1 ff.) erweist sich die Begründung sowohl in der Verfügung vom 11. April 2017 als auch im Einspracheentscheid vom 10. Juli 2017 als ungenügend, zumal die Vorinstanz es unterlassen hat, die rechtlichen Voraussetzungen, welche den Anspruch auf eine Stiefkinderrente regeln, für den Beschwerdeführer nachvollziehbar darzulegen. Auch im Einspracheentscheid fehlt eine Darlegung der entsprechenden Rechtsgrundlagen (siehe nachfolgend E. 5.1 ff.), eine Würdigung der eingereichten Belege sowie eine Begründung dazu, weshalb die SAK eine gemeinsame Hausgemeinschaft nicht als belegt erachtete. Sie hat auch nicht ausgeführt, welche Art Belege sie für den Nachweis des Unterhalts der Stieftochter akzeptieren würde. Schliesslich ist keine Prüfung oder Auseinandersetzung mit dem anerbotenen Beweismittel der Zeugenaussage erfolgt (Bezeichnung von 12 Zeugen [SAK 58.6-7]; vgl. Art. 33 i.V.m. Art. 12 Bst. c VwVG, Art. 43 Abs. 1 ATSG). Im Beschwerdeverfahren hat sich die Vorinstanz erstmals nachvollziehbar zu den Anspruchsvoraussetzungen für Pflegekinderrenten anhand der gesetzlichen Grundlagen geäussert und die Abweisung des Begehrens zum Zeitraum vor der Heirat des Beschwerdeführers am 12. Januar 2015 und danach im Hinblick auf die verlangte Hausgemeinschaft begründet. Sie hat auch zum Beweisantrag durch die anerbotenen Zeugen Stellung genommen. Was die Frage des Unterhalts der Stieftochter betrifft, hat sie ausgeführt, es sei nicht nachvollziehbar, dass er keinerlei Belege und Quittungen aufgehoben habe. Welche Art Quittungen einzureichen seien, hat sie schliesslich in der Duplik konkretisiert (B-act. 6, 12).</w:t>
      </w:r>
    </w:p>
    <w:p>
      <w:r>
        <w:rPr>
          <w:b/>
        </w:rPr>
        <w:t>E. 4.4.2</w:t>
      </w:r>
    </w:p>
    <w:p>
      <w:r>
        <w:t>Es ist demnach festzuhalten, dass die Vorinstanz das rechtliche Gehör des Versicherten verletzt hat und deshalb für den Beschwerdeführer als juristischen Laien lange nicht erkennbar war, worin die Rahmenbedingungen bestanden und welche Belege er einreichen sollte. Die vorliegende Gehörsverletzung ist in Anbetracht dessen zu heilen, dass im Beschwerdeverfahren ein dreifacher Schriftenwechsel durchgeführt wurde, die Vorinstanz in der Vernehmlassung und der Duplik die massgebenden Bedingungen letztlich in genügendem Mass erläuterte und das Bundesverwaltungsgericht mit voller Kognition entscheidet, zumal eine Rückweisung zur Gewährung des rechtlichen Gehörs im jetzigen Stadium des Verfahrens zu einem formalistischen Leerlauf und damit zu unnötigen Verzögerungen führen würde, die mit dem Interesse des Beschwerdeführers an einer beförderlichen Beurteilung der Sache nicht zu vereinbaren wäre.</w:t>
      </w:r>
    </w:p>
    <w:p>
      <w:r>
        <w:rPr>
          <w:b/>
        </w:rPr>
        <w:t>E. 5.1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w:t>
      </w:r>
    </w:p>
    <w:p>
      <w:r>
        <w:rPr>
          <w:b/>
        </w:rPr>
        <w:t>E. 5.2.1</w:t>
      </w:r>
    </w:p>
    <w:p>
      <w:r>
        <w:t>Gemäss Art. 49 Abs. 1 AHVV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5.2.2</w:t>
      </w:r>
    </w:p>
    <w:p>
      <w:r>
        <w:t>Das Stiefkind, das im Haushalt des Stiefvaters oder der Stiefmutter lebt, ist einem Pflegekind gleichgestellt, wenn der Stiefelternteil unentgeltlich für seinen Unterhalt aufgekommen ist (Urteile EVG H 123/02 vom 24. Februar 2003 E. 1 mit Hinweisen, B 14/04 vom 19. September 2005 E. 1.3).</w:t>
      </w:r>
    </w:p>
    <w:p>
      <w:r>
        <w:rPr>
          <w:b/>
        </w:rPr>
        <w:t>E. 5.2.3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5.2.4</w:t>
      </w:r>
    </w:p>
    <w:p>
      <w:r>
        <w:t>Art. 49 Abs. 1 AHVV setzt ausserdem voraus, dass bereits ein Pflegekindverhältnis bestanden hat, wenn der Versicherungsfall (Kinderrente) eintritt. Entscheidend ist deshalb, ob ein Pflegekindverhältnis im Sinne von Art. 49 AHVV begründet wurde. Erst danach kann sich die Frage stellen, ob bei Pflegekindern - im Vergleich zu eigenen Kindern - zusätzliche Anspruchsvoraussetzungen (wie das Leben in Hausgemeinschaft mit den Pflegeeltern auch bei Mündigkeit des Pflegekindes) gerechtfertigt sind. Ein Pflegekindverhältnis kann nur mit einer unmündigen Person begründet werden und setzt voraus, dass das Kind unter der faktischen Obhut der Pflegeeltern lebt (vgl. Tuor/Schnyder/Schmid/Rumo-Jungo, Das Schweizerische Zivilgesetzbuch, 13. Aufl. 2009, S. 491 f., Peter Mösch Payot, Rechtsstellung der Pflegeeltern, Zeitschrift für Kindes- und Erwachsenenschutz [ZKE] 2011, S. 87 ff., S. 89; vgl. Urteil BVGer C-5523/2009 E. 3.3 f.).</w:t>
      </w:r>
    </w:p>
    <w:p>
      <w:r>
        <w:rPr>
          <w:b/>
        </w:rPr>
        <w:t>E. 6</w:t>
      </w:r>
    </w:p>
    <w:p>
      <w:r>
        <w:t>Umstritten und vom Bundesverwaltungsgericht zu prüfen ist, ob der Beschwerdeführer einen Anspruch auf Kinderrente für seine Stieftochter D._______ hat.</w:t>
      </w:r>
    </w:p>
    <w:p>
      <w:r>
        <w:rPr>
          <w:b/>
        </w:rPr>
        <w:t>E. 6.1</w:t>
      </w:r>
    </w:p>
    <w:p>
      <w:r>
        <w:t>Die Vorinstanz hat das Gesuch um Ausrichtung einer Pflegekinderrente im Wesentlichen mit der Begründung abgewiesen, dass keine Hausgemeinschaft des Beschwerdeführers mit seiner Stieftochter bestehe und auch die Unentgeltlichkeit der Pflege und Erziehung nicht belegt sei.</w:t>
      </w:r>
    </w:p>
    <w:p>
      <w:r>
        <w:rPr>
          <w:b/>
        </w:rPr>
        <w:t>E. 6.2</w:t>
      </w:r>
    </w:p>
    <w:p>
      <w:r>
        <w:t>Vorab ist der Zeitrahmen darzulegen, in welchem hier die Voraussetzungen zur Entstehung eines allfälligen Pflegekinderrentenanspruchs erfüllt sein müssen, unabhängig von einem späteren Kinderrentenanspruch nach der Mündigkeit der Stieftochter während der weiteren Ausbildung. Da keine Hinweise dafür ersichtlich sind, dass vor Eintritt des AHV-Rentenanspruchs des Beschwerdeführers am 1. April 2009 bereits ein entsprechendes Pflegekindverhältnis zu seiner Stieftochter bestand, konnte gemäss Art. 22ter Abs. 1 AHVG vor dem Heiratsdatum am 12. Januar 2015 kein Anspruch entstehen - wie der Beschwerdeführer in der Replik zu Recht eingeräumt hat. Weiter hat die Stieftochter am (...) 2016 ihren 18. Geburtstag gefeiert und wurde gemäss dem hier anwendbaren Schweizer Recht (oben E. 2.1) zu diesem Zeitpunkt volljährig (siehe oben E. 5.2.3). Demnach ist entscheidend, ob zwischen dem 12. Januar 2015 und dem (...) 2016 die dargelegten Anspruchsvoraussetzungen nach dem Beweismass der überwiegenden Wahrscheinlichkeit gegeben und belegt sind (oben E. 3.3).</w:t>
      </w:r>
    </w:p>
    <w:p>
      <w:r>
        <w:rPr>
          <w:b/>
        </w:rPr>
        <w:t>E. 6.3</w:t>
      </w:r>
    </w:p>
    <w:p>
      <w:r>
        <w:t>Zu prüfen ist zunächst die Frage, ob im genannten Zeitraum eine Hausgemeinschaft der Stieftochter und dem Beschwerdeführer bestand.</w:t>
      </w:r>
    </w:p>
    <w:p>
      <w:r>
        <w:rPr>
          <w:b/>
        </w:rPr>
        <w:t>E. 6.3.1</w:t>
      </w:r>
    </w:p>
    <w:p>
      <w:r>
        <w:t>Wie die Vorinstanz im Einspracheentscheid grundsätzlich zutreffend ausführte, ist der Nachweis des gemeinsamen Wohnsitzes unumgänglich und er lässt sich in der Regel durch eine Bestätigung des Wohnsitzes des örtlichen Einwohneramtes erbringen. Gibt es - wie hier - keine Einwohnerkontrolle, die den Wohnsitz bestätigen kann, muss die Verwaltung dem Leistungsansprecher die Möglichkeit geben, den Beweis auf andere Weise zu erbringen. Ansonsten verletzt sie den Grundsatz der freien Beweiswürdigung (vgl. Urteil BVGer C-7203/2013 vom 13. Januar 2016 E. 5.2).</w:t>
      </w:r>
    </w:p>
    <w:p>
      <w:r>
        <w:rPr>
          <w:b/>
        </w:rPr>
        <w:t>E. 6.3.2</w:t>
      </w:r>
    </w:p>
    <w:p>
      <w:r>
        <w:t>Aus den eingereichten Akten geht hervor, dass der Beschwerdeführer bei seiner Anmeldung bei der SAK folgende Wohnadresse angab: Haus Nr. E._______, (...), Thailand, respektive anlässlich seiner Anmeldung zur Heirat vom 15. Dezember 2014 der Provinzzusatz "(...)" hervorgeht (vgl. SAK 15.2, 17.6; nachfolgend auch: Haus Nr. E._______).</w:t>
      </w:r>
    </w:p>
    <w:p>
      <w:r>
        <w:rPr>
          <w:b/>
        </w:rPr>
        <w:t>E. 6.3.3</w:t>
      </w:r>
    </w:p>
    <w:p>
      <w:r>
        <w:t>Im Zusatzfragebogen zur Prüfung des Anspruchs auf eine Kinderrente vom 9. Oktober 2016 findet sich unter Ziffer 4 die Adresse der leiblichen Mutter der Stieftochter, welche mit der Wohnadresse des Beschwerdeführers identisch ist (SAK 30.3). Weiter enthält das Dossier folgende Belege zur Wohnadresse der Tochter D._______. - Auszug aus dem Hausregister Haus E._______ (Festsetzung der Kennziffer: 15. Juni 2007), Haus Nr. E._______, (...), Wohnhaus (SAK 30.7 = 30.8 = 45.9 [Übersetzung; ohne Angaben zu den Bewohnern des Hauses]); - Bescheinigung des Standesbeamten zu Personen der Hauskennziffer F._______, das Mädchen D._______ ist als Mitbewohnerin am 20. September 2010 zugezogen (SAK 30.6 = 45.8 = 45.7 [Übersetzung; undatiertes Dokument]); - Mietvertrag Haus Nr. E._______, (...), Thailand, vom 9. November 2010, für A._______ (zur Zeit Bewohner des Hauses Nr. F._______) ab 1. April 2011 (Bedingungen u.a.: exkl. Elektrizität [monatliche Abrechnung], inkl. Wasserverbrauch bis 100b/Mt, inkl. Putzen bei Ein- und Auszug, inkl. Gartenpflege, inkl. Internet und Kabel-TV [B-act. 10 Bl. 5]); - Angepasster Mietvertrag für Haus Nr. E._______ vom 25. März 2011, für die Mietdauer 1. April 2011 - 1. April 2012 (mit der Option, den Vertrag zu verlängern), zwischen der Residence G._______ und A._______; Bewohner der Liegenschaft: A._______, C._______, D._______ (B-act. 10 Bl. 6); - Berichtsbuch über die Entwicklung der Schülerin D._______, Wohndresse: Haus E._______, (...), Akademisches Jahr 2014 (SAK 44.21 = 44.14-15 [Übersetzung]); - Bescheinigung des Bezirksamts H._______ vom 2. September 2016, dass D._______, 18 Jahre alt, im Haus Nr. F._______, (...), wohne und noch lebe (SAK 30.5 = 45.5 = 45.4 [Übersetzung]); - Bestätigung der Residence G._______ als Vermieterin vom 7. November 2016, dass A._______, C._______ und D._______ seit 1. April 2011 an der Adresse Haus Nr. E._______ wohnen, und dass die Vermieterin keine Mieterangaben in den Hausbüchern vornehme (SAK 43.3-4 = 50.5 = 52.4); - Bestätigung von C._______, aufgenommen vom Bezirksamt H._______ am 20. März 2017, dass sie mit ihrer Tochter und ihrem Ehemann im Haus E._______, (...), zur Miete wohne (SAK 50.4 = 52.2 = 52.3 = 50.3 = 52.1 [Übersetzung]); - Bestätigung von C._______, aufgenommen vom Bezirksamt H._______ vom 26. April 2017, dass sie mit ihrer Tochter und ihrem Ehemann seit dem 20. September 2010 im Haus E._______, (...), wohne (SAK 58.5 = 58.4 [Übersetzung]); - Bestätigung der Bezirksverwaltung H._______ vom 10. Oktober 2017, dass D._______ mit ihrer Mutter C._______ und A._______ im Mietshaus Nr. E._______, (...), wohne und noch lebe (B-act. 10 Bl. 1-2 [englische Übersetzung]).</w:t>
      </w:r>
    </w:p>
    <w:p>
      <w:r>
        <w:rPr>
          <w:b/>
        </w:rPr>
        <w:t>E. 6.3.4</w:t>
      </w:r>
    </w:p>
    <w:p>
      <w:r>
        <w:t>Mit der Vorinstanz ist festzuhalten, dass die vom Bezirksamt H._______ bestätigten (übersetzten) Dokumente zum Wohnsitz der Stieftochter widersprüchlich und lückenhaft sind. Gemäss dem einzigen amtlichen Beleg vom 2. September 2016, der sich explizit zur Wohnsituation von D._______ äussert, wohnte sie in einem anderen Haus als die Mutter und deren Ehemann, wenn auch aufgrund der identischen Zusätze der Adresse in der Nähe. Dem entgegengesetzt liegen die Aussagen der Vermieterin aus den Jahren 2010, 2011 und 2016 sowie der Schule aus dem Jahr 2014 vor, welche jeweils die identische Adresse der Stieftochter mit ihrer Mutter und dem Stiefvater bescheinigen. Die beiden vom Bezirksamt H._______ bescheinigten Aussagen von C._______ vom 20. März 2017 und vom 26. April 2017 deuten wiederum auf eine gemeinsame Adresse im Haus Nr. E._______ hin, es fehlt aber darin entweder eine Aussage dazu, seit wann die Familie an dieser Adresse wohnt, oder es besteht ein Widerspruch insofern, als gemäss den Akten übereinstimmend angegeben wurde, die Familie sei im März/April 2011 ins Haus Nr. E._______ eingezogen, im Dokument aber bescheinigt wird, der Umzug habe schon im September 2010 stattgefunden (vgl. SAK 58.4 = B-act. 1 Bl. 17). Klar von der Bezirksverwaltung belegt wurde die gemeinsame Wohnsituation schliesslich am 10. Oktober 2017, indessen enthält dieses amtliche Dokument keine Angaben dazu, seit wann dieser Zustand gilt und wurde - wie die Vorinstanz zu Recht ausführte - nach dem hier massgeblichen (...) 2016 bescheinigt.</w:t>
      </w:r>
    </w:p>
    <w:p>
      <w:r>
        <w:rPr>
          <w:b/>
        </w:rPr>
        <w:t>E. 6.3.5</w:t>
      </w:r>
    </w:p>
    <w:p>
      <w:r>
        <w:t>Zusammenfassend kann zur Frage der Hausgemeinschaft des Beschwerdeführers mit seiner Stieftochter im Hinblick auf die ohne Zweifel erschwerte Beweisbarkeit des Wohnsitzes nach den thailändischen Vorschriften und Gepflogenheiten (vgl. B-act. 10 S. 2; siehe hierzu auch die in diesem Sinne gehaltene Stellungnahme der Schweizer Botschaft in [...] an die SAK zur Belegbarkeit der Wohnsituation in Thailand vom 29.11.2013 [B-act. 16 Bl. 1]) festgehalten werden, dass sie in Anbetracht der von der Schule und der Vermieterschaft bescheinigten Dokumente wohl schon im Zeitpunkt der Heirat des Beschwerdeführers gegeben war, unabhängig davon, wann genau die Familie ins Haus Nr. E._______ eingezogen ist. Es erweist sich als plausibel, dass der Beschwerdeführer bei seiner Abmeldung in der Schweiz per 1. März 2014 respektive im Zeitpunkt seiner Heirat am 12. Januar 2015 seinen Lebensmittelpunkt in Thailand an der angegebenen Adresse hatte und auch seine Ehefrau und ihre Tochter zu diesem Zeitpunkt im Haus Nr. E._______ wohnten. Unklar bleibt, weshalb der Beschwerdeführer (jedenfalls aus den Übersetzungen hervorgehende) in sich widersprüchliche Belege eingereicht hat, ohne die Differenzen im Verwaltungsverfahren zu kommentieren. Die Frage, ob zwischen dem 12. Januar 2015 und dem (...) 2016 ein gemeinsamer Wohnsitz bestanden hat, kann jedoch - wie nachfolgend ausgeführt wird - letztlich offen gelassen werden (siehe hiernach E. 6.4 ff.).</w:t>
      </w:r>
    </w:p>
    <w:p>
      <w:r>
        <w:rPr>
          <w:b/>
        </w:rPr>
        <w:t>E. 6.4</w:t>
      </w:r>
    </w:p>
    <w:p>
      <w:r>
        <w:t>Zu prüfen bleibt die Voraussetzung der Unentgeltlichkeit des Pflegeverhältnisses.</w:t>
      </w:r>
    </w:p>
    <w:p>
      <w:r>
        <w:rPr>
          <w:b/>
        </w:rPr>
        <w:t>E. 6.4.1</w:t>
      </w:r>
    </w:p>
    <w:p>
      <w:r>
        <w:t>Der Beschwerdeführer macht im Wesentlichen geltend, Belege für den Unterhalt der Stieftochter in allen Belangen (wie Schulgelder, Bücher, Schuluniformen, Essensbeiträge in der Schule, Schulbus, Schulausflüge, Schulcamps, Kurse in Englisch und Deutsch mit Unterbringungs- und Essenskosten während dem Deutsch-Intensivkurs, Bekleidung, Zimmerausstattung, Medikamenten- und Arztkosten, Taschengeld etc.; vgl. SAK 47, 58 S. 3) seien in Thailand nicht erhältlich oder - wenn überhaupt - auf einer Papierqualität bescheinigt, die innert kurzer Zeit unlesbar würden. Replikweise hat er unter anderem seinen Mietvertrag für das Wohnhaus Nr. E._______ vom 25. März 2011 für den Zeitraum vom 1. April 2011 - 1. April 2012 mit drei Schlafzimmern, Wohnzimmer sowie zwei Bädern und Küche eingereicht, der auf seinen Namen lautet (B-act. 10 Bl. 6). Zusammen mit den übrigen Akten zum gemeinsamen Wohnsitz ergibt sich daraus, dass die Wohnkosten der Familie durch den Beschwerdeführer geleistet werden, zumal er angibt, seine heutige Frau habe ihre Arbeit aufgegeben, als sie die Stieftochter im Jahr 2010 zu sich genommen hätten (vgl. B-act. 1 S. 2). Darüber hinaus finden sich indessen keine Belege für die geltend gemachten Unterhaltskosten für die Stieftochter. Für die Ausgaben für (Privat)schul- und Sprachkursgebühren, allfällige Kosten für Unterkünfte während den Kursen, Versicherungen oder Arztrechnungen müsste zumindest teilweise auch in Thailand eine Belegbarkeit möglich sein, zumal beim Institut I._______ in (...) davon auszugehen ist, dass eine Quittung für einen 4-wöchigen Kurs ausgestellt oder die Schulgebühren via Banküberweisungen bezahlt werden können, wie auch Belege für die geltend gemachten Unterkünfte in (...) (bspw. via Kreditkartenabrechnung) erhältlich sein müssten. Auch die Ausgaben des Haushalts und für die Stieftochter im Allgemeinen - auf die der Beschwerdeführer schon am 17. März 2017 Bezug nahm (vgl. SAK 47) - müssten zumindest teilweise mittels Bankauszügen, Kreditkartenabrechnungen, Steuererklärungen oder allenfalls Überweisungen auf ein Konto der Stieftochter belegbar sein. Demnach enthält das Dossier ausser dem eingereichten Mietvertrag für die Familienwohnung keine (genügenden) Belege, welche den Unterhalt der Stieftochter mit der notwendigen überwiegenden Wahrscheinlichkeit dokumentieren würden, wie die Vorinstanz letztlich zu Recht ausgeführt hat. Was die eingereichten Quittungen für ein iPad vom 8. Januar 2015 und ein iPhone vom 8. November 2015 ohne Angaben zu dem/der Eigentümer/in (vgl. B-act. 10 Bl. 11 f.) betrifft, ist der Vorinstanz zuzustimmen, dass der Beschwerdeführer auch daraus nichts zu seinen Gunsten ableiten kann.</w:t>
      </w:r>
    </w:p>
    <w:p>
      <w:r>
        <w:rPr>
          <w:b/>
        </w:rPr>
        <w:t>E. 6.4.2</w:t>
      </w:r>
    </w:p>
    <w:p>
      <w:r>
        <w:t>Soweit der Beschwerdeführer im vorliegenden Beschwerdeverfahren eine Liste von Zeugen eingereicht hat, bleibt anzufügen, dass Zeugenaussagen zwar - je nach Verfahren - taugliche Beweismittel sein können. Sie könnten indessen die hier fehlenden, zumindest teilweise notwendig einzureichenden Belege für den Unterhalt der Stieftochter in antizipierter Beweiswürdigung nicht ersetzen. Der Antrag auf Beweisabnahmen mittels Einholung der anerbotenen Zeugenaussagen ist deshalb abzuweisen.</w:t>
      </w:r>
    </w:p>
    <w:p>
      <w:r>
        <w:rPr>
          <w:b/>
        </w:rPr>
        <w:t>E. 6.5.1</w:t>
      </w:r>
    </w:p>
    <w:p>
      <w:r>
        <w:t>Zusammenfassend ist festzuhalten, dass der Beschwerdeführer die Voraussetzungen für das Bestehen eines Stiefkindverhältnisses im Sinne von Art. 22ter Abs. 1 AHVG i.V.m. Art. 49 Abs. 1 AHVV nicht mit dem Beweismass der überwiegenden Wahrscheinlichkeit belegt hat. Die Beschwerde ist demzufolge abzuweisen.</w:t>
      </w:r>
    </w:p>
    <w:p>
      <w:r>
        <w:rPr>
          <w:b/>
        </w:rPr>
        <w:t>E. 6.5.2</w:t>
      </w:r>
    </w:p>
    <w:p>
      <w:r>
        <w:t>Soweit die Vorinstanz sich darüber hinaus verallgemeinernd zu den finanziellen Möglichkeiten von Schweizer Rentnern, die in Thailand wohnen, äussert (vgl. B-act. 6 S. 3 in fine), erweist sich die Aussage im vorliegenden Einzelfall als irrelevant und unnötig, zumal ein Pflegekinderrentenanspruch aus der Alters- und Hinterlassenenversicherung unabhängig vom Einkommen und Vermögen eines Antragstellers oder einer Antragstellerin und unabhängig von der Höhe der in Frage stehenden Rente entsteht, wenn die gesetzlichen Voraussetzungen erfüllt sind.</w:t>
      </w:r>
    </w:p>
    <w:p>
      <w:r>
        <w:rPr>
          <w:b/>
        </w:rPr>
        <w:t>E. 7</w:t>
      </w:r>
    </w:p>
    <w:p>
      <w:r>
        <w:t>Zu befinden bleibt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Weder die obsiegende Vorinstanz noch der unterliegende Beschwerdeführer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